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12818" w:rsidRPr="00F1664D" w14:paraId="58614EDB"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2023FCA0" w14:textId="77777777" w:rsidR="00712818" w:rsidRPr="00853E69" w:rsidRDefault="00712818" w:rsidP="0061014A">
            <w:pPr>
              <w:spacing w:line="360" w:lineRule="auto"/>
              <w:jc w:val="center"/>
              <w:rPr>
                <w:rFonts w:cs="Arial"/>
                <w:b/>
                <w:sz w:val="48"/>
                <w:szCs w:val="48"/>
              </w:rPr>
            </w:pPr>
            <w:r>
              <w:rPr>
                <w:b/>
                <w:sz w:val="48"/>
              </w:rPr>
              <w:t>Annex 1 to the contract</w:t>
            </w:r>
          </w:p>
          <w:p w14:paraId="1F9F45E4" w14:textId="77777777" w:rsidR="00712818" w:rsidRPr="0005479E" w:rsidRDefault="00712818" w:rsidP="0061014A">
            <w:pPr>
              <w:tabs>
                <w:tab w:val="left" w:pos="5670"/>
              </w:tabs>
              <w:jc w:val="center"/>
              <w:rPr>
                <w:rFonts w:cs="Arial"/>
                <w:b/>
              </w:rPr>
            </w:pPr>
            <w:r>
              <w:rPr>
                <w:b/>
              </w:rPr>
              <w:t>according to DE-UZ 5</w:t>
            </w:r>
            <w:r>
              <w:rPr>
                <w:b/>
              </w:rPr>
              <w:br/>
            </w:r>
            <w:r>
              <w:rPr>
                <w:b/>
              </w:rPr>
              <w:br/>
              <w:t>THIS ANNEX IS FOR: Applicants</w:t>
            </w:r>
          </w:p>
        </w:tc>
        <w:tc>
          <w:tcPr>
            <w:tcW w:w="1701" w:type="dxa"/>
            <w:tcBorders>
              <w:top w:val="single" w:sz="4" w:space="0" w:color="auto"/>
              <w:left w:val="single" w:sz="4" w:space="0" w:color="auto"/>
              <w:bottom w:val="single" w:sz="4" w:space="0" w:color="auto"/>
              <w:right w:val="single" w:sz="4" w:space="0" w:color="auto"/>
            </w:tcBorders>
            <w:vAlign w:val="center"/>
          </w:tcPr>
          <w:p w14:paraId="3C490569" w14:textId="77777777" w:rsidR="00712818" w:rsidRPr="00F1664D" w:rsidRDefault="00712818" w:rsidP="0061014A">
            <w:pPr>
              <w:tabs>
                <w:tab w:val="left" w:pos="5670"/>
              </w:tabs>
              <w:spacing w:before="120" w:line="360" w:lineRule="auto"/>
              <w:ind w:left="74" w:right="74"/>
              <w:jc w:val="center"/>
              <w:rPr>
                <w:rFonts w:cs="Arial"/>
              </w:rPr>
            </w:pPr>
            <w:r>
              <w:rPr>
                <w:b/>
              </w:rPr>
              <w:t>Please only use this form!</w:t>
            </w:r>
          </w:p>
        </w:tc>
      </w:tr>
    </w:tbl>
    <w:p w14:paraId="281B0CDD" w14:textId="77777777" w:rsidR="003D666E" w:rsidRPr="00F1664D" w:rsidRDefault="003D666E" w:rsidP="003D666E">
      <w:pPr>
        <w:tabs>
          <w:tab w:val="left" w:pos="5670"/>
        </w:tabs>
        <w:rPr>
          <w:rFonts w:cs="Arial"/>
        </w:rPr>
      </w:pPr>
    </w:p>
    <w:p w14:paraId="30C943F1" w14:textId="77777777" w:rsidR="003D666E" w:rsidRPr="00F1664D" w:rsidRDefault="003D666E" w:rsidP="003D666E">
      <w:pPr>
        <w:tabs>
          <w:tab w:val="left" w:pos="5670"/>
        </w:tabs>
        <w:rPr>
          <w:rFonts w:cs="Arial"/>
          <w:b/>
        </w:rPr>
      </w:pPr>
      <w:r>
        <w:rPr>
          <w:b/>
        </w:rPr>
        <w:t>Environmental label for "Sanitary Paper”</w:t>
      </w:r>
    </w:p>
    <w:p w14:paraId="34403D3B" w14:textId="77777777" w:rsidR="003D666E" w:rsidRPr="00F1664D" w:rsidRDefault="003D666E" w:rsidP="003D666E">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3D666E" w:rsidRPr="00F1664D" w14:paraId="5635CC61" w14:textId="77777777" w:rsidTr="00500850">
        <w:trPr>
          <w:trHeight w:hRule="exact" w:val="814"/>
        </w:trPr>
        <w:tc>
          <w:tcPr>
            <w:tcW w:w="4362" w:type="dxa"/>
            <w:shd w:val="clear" w:color="auto" w:fill="auto"/>
          </w:tcPr>
          <w:p w14:paraId="1F79E19E" w14:textId="77777777" w:rsidR="003D666E" w:rsidRPr="00F1664D" w:rsidRDefault="003D666E" w:rsidP="00500850">
            <w:pPr>
              <w:spacing w:before="20" w:after="20"/>
              <w:rPr>
                <w:rFonts w:cs="Arial"/>
                <w:b/>
              </w:rPr>
            </w:pPr>
            <w:r>
              <w:rPr>
                <w:b/>
              </w:rPr>
              <w:t>Applicant:</w:t>
            </w:r>
          </w:p>
          <w:p w14:paraId="21D1346E" w14:textId="77777777" w:rsidR="003D666E" w:rsidRPr="00F1664D" w:rsidRDefault="003D666E" w:rsidP="00500850">
            <w:pPr>
              <w:spacing w:before="20" w:after="20"/>
              <w:rPr>
                <w:rFonts w:cs="Arial"/>
                <w:sz w:val="18"/>
                <w:szCs w:val="18"/>
              </w:rPr>
            </w:pPr>
            <w:r>
              <w:rPr>
                <w:sz w:val="18"/>
              </w:rPr>
              <w:t>(full address)</w:t>
            </w:r>
          </w:p>
        </w:tc>
        <w:tc>
          <w:tcPr>
            <w:tcW w:w="5386" w:type="dxa"/>
            <w:shd w:val="clear" w:color="auto" w:fill="auto"/>
          </w:tcPr>
          <w:p w14:paraId="70BE29D2" w14:textId="77777777" w:rsidR="00E3175C" w:rsidRDefault="00E3175C" w:rsidP="00E3175C">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bookmarkStart w:id="0" w:name="_GoBack"/>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bookmarkEnd w:id="0"/>
            <w:r w:rsidRPr="00F1664D">
              <w:rPr>
                <w:rFonts w:cs="Arial"/>
                <w:b/>
              </w:rPr>
              <w:fldChar w:fldCharType="end"/>
            </w:r>
          </w:p>
          <w:p w14:paraId="5EF41E28" w14:textId="77777777" w:rsidR="003D666E" w:rsidRPr="00F1664D" w:rsidRDefault="003D666E" w:rsidP="00500850">
            <w:pPr>
              <w:spacing w:before="20" w:after="20"/>
              <w:rPr>
                <w:rFonts w:cs="Arial"/>
                <w:b/>
              </w:rPr>
            </w:pPr>
          </w:p>
        </w:tc>
      </w:tr>
      <w:tr w:rsidR="003D666E" w:rsidRPr="00F1664D" w14:paraId="46FFC15F" w14:textId="77777777" w:rsidTr="00500850">
        <w:tc>
          <w:tcPr>
            <w:tcW w:w="4362" w:type="dxa"/>
            <w:shd w:val="clear" w:color="auto" w:fill="auto"/>
          </w:tcPr>
          <w:p w14:paraId="68EE9BFF" w14:textId="77777777" w:rsidR="003D666E" w:rsidRPr="00F1664D" w:rsidRDefault="003D666E" w:rsidP="00500850">
            <w:pPr>
              <w:spacing w:before="20" w:after="20"/>
              <w:rPr>
                <w:rFonts w:cs="Arial"/>
                <w:b/>
              </w:rPr>
            </w:pPr>
            <w:r>
              <w:rPr>
                <w:b/>
              </w:rPr>
              <w:t>Contact for any questions:</w:t>
            </w:r>
          </w:p>
        </w:tc>
        <w:tc>
          <w:tcPr>
            <w:tcW w:w="5386" w:type="dxa"/>
            <w:shd w:val="clear" w:color="auto" w:fill="auto"/>
          </w:tcPr>
          <w:p w14:paraId="24E38205" w14:textId="0F074422" w:rsidR="003D666E" w:rsidRPr="00F1664D" w:rsidRDefault="00E3175C" w:rsidP="00500850">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3D666E" w:rsidRPr="00F1664D" w14:paraId="45432C68" w14:textId="77777777" w:rsidTr="00500850">
        <w:tc>
          <w:tcPr>
            <w:tcW w:w="4362" w:type="dxa"/>
            <w:shd w:val="clear" w:color="auto" w:fill="auto"/>
          </w:tcPr>
          <w:p w14:paraId="5CAA4542" w14:textId="77777777" w:rsidR="003D666E" w:rsidRPr="00F1664D" w:rsidRDefault="003D666E" w:rsidP="00500850">
            <w:pPr>
              <w:spacing w:before="20" w:after="20"/>
              <w:jc w:val="center"/>
              <w:rPr>
                <w:rFonts w:cs="Arial"/>
                <w:b/>
              </w:rPr>
            </w:pPr>
            <w:r>
              <w:rPr>
                <w:b/>
              </w:rPr>
              <w:t>E-mail address:</w:t>
            </w:r>
          </w:p>
        </w:tc>
        <w:tc>
          <w:tcPr>
            <w:tcW w:w="5386" w:type="dxa"/>
            <w:shd w:val="clear" w:color="auto" w:fill="auto"/>
          </w:tcPr>
          <w:p w14:paraId="0B2FD676" w14:textId="36A605F9" w:rsidR="003D666E" w:rsidRPr="00F1664D" w:rsidRDefault="00E3175C" w:rsidP="00500850">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3D666E" w:rsidRPr="00F1664D" w14:paraId="7D480DF6" w14:textId="77777777" w:rsidTr="00500850">
        <w:tc>
          <w:tcPr>
            <w:tcW w:w="4362" w:type="dxa"/>
            <w:shd w:val="clear" w:color="auto" w:fill="auto"/>
          </w:tcPr>
          <w:p w14:paraId="3D0B6CD2" w14:textId="77777777" w:rsidR="003D666E" w:rsidRPr="00F1664D" w:rsidRDefault="003D666E" w:rsidP="00500850">
            <w:pPr>
              <w:spacing w:before="20" w:after="20"/>
              <w:jc w:val="center"/>
              <w:rPr>
                <w:rFonts w:cs="Arial"/>
                <w:b/>
              </w:rPr>
            </w:pPr>
            <w:r>
              <w:rPr>
                <w:b/>
              </w:rPr>
              <w:t>Telephone:</w:t>
            </w:r>
          </w:p>
        </w:tc>
        <w:tc>
          <w:tcPr>
            <w:tcW w:w="5386" w:type="dxa"/>
            <w:shd w:val="clear" w:color="auto" w:fill="auto"/>
          </w:tcPr>
          <w:p w14:paraId="7A5A825C" w14:textId="13D634B7" w:rsidR="003D666E" w:rsidRDefault="00E3175C" w:rsidP="00500850">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r w:rsidR="003D666E" w:rsidRPr="00F1664D" w14:paraId="3DB6D378" w14:textId="77777777" w:rsidTr="00633F0F">
        <w:trPr>
          <w:trHeight w:val="287"/>
        </w:trPr>
        <w:tc>
          <w:tcPr>
            <w:tcW w:w="4362" w:type="dxa"/>
            <w:shd w:val="clear" w:color="auto" w:fill="auto"/>
          </w:tcPr>
          <w:p w14:paraId="504C9106" w14:textId="77777777" w:rsidR="003D666E" w:rsidRPr="00F1664D" w:rsidRDefault="003D666E" w:rsidP="00633F0F">
            <w:pPr>
              <w:spacing w:before="20" w:after="20"/>
              <w:rPr>
                <w:rFonts w:cs="Arial"/>
                <w:b/>
                <w:sz w:val="18"/>
                <w:szCs w:val="18"/>
              </w:rPr>
            </w:pPr>
            <w:r>
              <w:rPr>
                <w:b/>
              </w:rPr>
              <w:t>Trade name of the product:</w:t>
            </w:r>
          </w:p>
        </w:tc>
        <w:tc>
          <w:tcPr>
            <w:tcW w:w="5386" w:type="dxa"/>
            <w:shd w:val="clear" w:color="auto" w:fill="auto"/>
          </w:tcPr>
          <w:p w14:paraId="24647A5C" w14:textId="235A42D1" w:rsidR="003D666E" w:rsidRPr="00F1664D" w:rsidRDefault="00E3175C"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654CE" w:rsidRPr="00F1664D" w14:paraId="03E513FC" w14:textId="77777777" w:rsidTr="00633F0F">
        <w:trPr>
          <w:trHeight w:val="287"/>
        </w:trPr>
        <w:tc>
          <w:tcPr>
            <w:tcW w:w="4362" w:type="dxa"/>
            <w:shd w:val="clear" w:color="auto" w:fill="auto"/>
          </w:tcPr>
          <w:p w14:paraId="637E08CA" w14:textId="3FF9FC75" w:rsidR="00C654CE" w:rsidRPr="00F1664D" w:rsidRDefault="00C654CE" w:rsidP="00221E18">
            <w:pPr>
              <w:spacing w:before="20" w:after="20"/>
              <w:rPr>
                <w:rFonts w:cs="Arial"/>
                <w:b/>
              </w:rPr>
            </w:pPr>
            <w:r>
              <w:rPr>
                <w:b/>
              </w:rPr>
              <w:t>Product category Paragraphs 3.1.1 - 3.1.3 (crepe/food or another type of paper. please specify):</w:t>
            </w:r>
          </w:p>
        </w:tc>
        <w:tc>
          <w:tcPr>
            <w:tcW w:w="5386" w:type="dxa"/>
            <w:shd w:val="clear" w:color="auto" w:fill="auto"/>
          </w:tcPr>
          <w:p w14:paraId="75241275" w14:textId="693CC690" w:rsidR="00C654CE" w:rsidRPr="00F1664D" w:rsidRDefault="00E3175C"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D666E" w:rsidRPr="00F1664D" w14:paraId="7F845494" w14:textId="77777777" w:rsidTr="00C654CE">
        <w:trPr>
          <w:trHeight w:val="504"/>
        </w:trPr>
        <w:tc>
          <w:tcPr>
            <w:tcW w:w="4362" w:type="dxa"/>
            <w:shd w:val="clear" w:color="auto" w:fill="auto"/>
          </w:tcPr>
          <w:p w14:paraId="063C593B" w14:textId="77777777" w:rsidR="003D666E" w:rsidRPr="00F1664D" w:rsidRDefault="003D666E" w:rsidP="00500850">
            <w:pPr>
              <w:spacing w:before="20" w:after="20"/>
              <w:rPr>
                <w:rFonts w:cs="Arial"/>
                <w:b/>
              </w:rPr>
            </w:pPr>
            <w:r>
              <w:rPr>
                <w:b/>
              </w:rPr>
              <w:t xml:space="preserve">Function of the product </w:t>
            </w:r>
            <w:r>
              <w:rPr>
                <w:sz w:val="18"/>
              </w:rPr>
              <w:t>(e.g. toilet paper, kitchen towels, etc.)</w:t>
            </w:r>
            <w:r>
              <w:rPr>
                <w:b/>
                <w:sz w:val="18"/>
              </w:rPr>
              <w:t>:</w:t>
            </w:r>
          </w:p>
        </w:tc>
        <w:tc>
          <w:tcPr>
            <w:tcW w:w="5386" w:type="dxa"/>
            <w:shd w:val="clear" w:color="auto" w:fill="auto"/>
          </w:tcPr>
          <w:p w14:paraId="5437E621" w14:textId="5D974487" w:rsidR="003D666E" w:rsidRPr="00F1664D" w:rsidRDefault="00E3175C"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D666E" w:rsidRPr="00F1664D" w14:paraId="300B0CF3" w14:textId="77777777" w:rsidTr="00C654CE">
        <w:trPr>
          <w:trHeight w:val="497"/>
        </w:trPr>
        <w:tc>
          <w:tcPr>
            <w:tcW w:w="4362" w:type="dxa"/>
            <w:shd w:val="clear" w:color="auto" w:fill="auto"/>
          </w:tcPr>
          <w:p w14:paraId="12ADB4BE" w14:textId="77777777" w:rsidR="00C654CE" w:rsidRDefault="00215893" w:rsidP="00C654CE">
            <w:pPr>
              <w:spacing w:before="20" w:after="20"/>
              <w:rPr>
                <w:rFonts w:cs="Arial"/>
                <w:b/>
              </w:rPr>
            </w:pPr>
            <w:r>
              <w:rPr>
                <w:b/>
              </w:rPr>
              <w:t>Distributor:</w:t>
            </w:r>
          </w:p>
          <w:p w14:paraId="2CFBA3FB" w14:textId="77777777" w:rsidR="00192EC8" w:rsidRDefault="00192EC8" w:rsidP="00C654CE">
            <w:pPr>
              <w:spacing w:before="20" w:after="20"/>
              <w:rPr>
                <w:rFonts w:cs="Arial"/>
                <w:b/>
              </w:rPr>
            </w:pPr>
            <w:r>
              <w:rPr>
                <w:sz w:val="18"/>
              </w:rPr>
              <w:t>(Please state the full address)</w:t>
            </w:r>
          </w:p>
        </w:tc>
        <w:tc>
          <w:tcPr>
            <w:tcW w:w="5386" w:type="dxa"/>
            <w:shd w:val="clear" w:color="auto" w:fill="auto"/>
          </w:tcPr>
          <w:p w14:paraId="4CCEAE8C" w14:textId="2AC9759F" w:rsidR="003D666E" w:rsidRPr="00F1664D" w:rsidRDefault="00E3175C"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32FC82D2" w14:textId="77777777" w:rsidR="003D666E" w:rsidRPr="00F1664D" w:rsidRDefault="003D666E" w:rsidP="003D666E">
      <w:pPr>
        <w:rPr>
          <w:rFonts w:cs="Arial"/>
        </w:rPr>
      </w:pPr>
    </w:p>
    <w:p w14:paraId="1C338324" w14:textId="77777777" w:rsidR="003D666E" w:rsidRPr="00F1664D" w:rsidRDefault="003D666E" w:rsidP="003D666E">
      <w:pPr>
        <w:rPr>
          <w:rFonts w:cs="Arial"/>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9042"/>
      </w:tblGrid>
      <w:tr w:rsidR="003D666E" w:rsidRPr="003C7026" w14:paraId="281627FD" w14:textId="77777777" w:rsidTr="00565983">
        <w:trPr>
          <w:trHeight w:val="349"/>
        </w:trPr>
        <w:tc>
          <w:tcPr>
            <w:tcW w:w="988" w:type="dxa"/>
            <w:shd w:val="clear" w:color="auto" w:fill="auto"/>
          </w:tcPr>
          <w:p w14:paraId="7F3AAF2D" w14:textId="77777777" w:rsidR="003D666E" w:rsidRPr="00F87315" w:rsidRDefault="003D666E" w:rsidP="00500850">
            <w:pPr>
              <w:pStyle w:val="Textkrper"/>
              <w:tabs>
                <w:tab w:val="left" w:pos="8222"/>
              </w:tabs>
              <w:spacing w:line="240" w:lineRule="auto"/>
              <w:jc w:val="left"/>
              <w:rPr>
                <w:b/>
                <w:sz w:val="22"/>
              </w:rPr>
            </w:pPr>
            <w:r>
              <w:rPr>
                <w:b/>
                <w:sz w:val="22"/>
              </w:rPr>
              <w:t>Paragraph:</w:t>
            </w:r>
          </w:p>
        </w:tc>
        <w:tc>
          <w:tcPr>
            <w:tcW w:w="9432" w:type="dxa"/>
            <w:shd w:val="clear" w:color="auto" w:fill="auto"/>
          </w:tcPr>
          <w:p w14:paraId="095F4CE8" w14:textId="77777777" w:rsidR="003D666E" w:rsidRPr="00090161" w:rsidRDefault="003D666E" w:rsidP="00500850">
            <w:pPr>
              <w:pStyle w:val="Textkrper"/>
              <w:tabs>
                <w:tab w:val="left" w:pos="8222"/>
              </w:tabs>
              <w:spacing w:line="240" w:lineRule="auto"/>
              <w:jc w:val="left"/>
              <w:rPr>
                <w:rFonts w:ascii="Verdana" w:hAnsi="Verdana"/>
                <w:sz w:val="20"/>
                <w:szCs w:val="20"/>
              </w:rPr>
            </w:pPr>
            <w:r>
              <w:rPr>
                <w:rFonts w:ascii="Verdana" w:hAnsi="Verdana"/>
                <w:sz w:val="20"/>
              </w:rPr>
              <w:t>We hereby declare that</w:t>
            </w:r>
          </w:p>
        </w:tc>
      </w:tr>
      <w:tr w:rsidR="003D666E" w:rsidRPr="003C7026" w14:paraId="396DC536" w14:textId="77777777" w:rsidTr="00565983">
        <w:trPr>
          <w:trHeight w:val="516"/>
        </w:trPr>
        <w:tc>
          <w:tcPr>
            <w:tcW w:w="988" w:type="dxa"/>
            <w:shd w:val="clear" w:color="auto" w:fill="auto"/>
          </w:tcPr>
          <w:p w14:paraId="7508E83A" w14:textId="77777777" w:rsidR="003D666E" w:rsidRPr="00F87315" w:rsidRDefault="003D666E" w:rsidP="00500850">
            <w:pPr>
              <w:pStyle w:val="Textkrper"/>
              <w:tabs>
                <w:tab w:val="left" w:pos="8222"/>
              </w:tabs>
              <w:spacing w:line="240" w:lineRule="auto"/>
              <w:jc w:val="left"/>
              <w:rPr>
                <w:b/>
                <w:sz w:val="22"/>
              </w:rPr>
            </w:pPr>
            <w:r>
              <w:rPr>
                <w:b/>
                <w:sz w:val="22"/>
              </w:rPr>
              <w:t>3.1</w:t>
            </w:r>
          </w:p>
        </w:tc>
        <w:tc>
          <w:tcPr>
            <w:tcW w:w="9432" w:type="dxa"/>
            <w:shd w:val="clear" w:color="auto" w:fill="auto"/>
          </w:tcPr>
          <w:p w14:paraId="71C1F8AC" w14:textId="77777777" w:rsidR="003D666E" w:rsidRPr="00C32BC9" w:rsidRDefault="003D666E" w:rsidP="00500850">
            <w:pPr>
              <w:pStyle w:val="Textkrpe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rPr>
              <w:t>- the paper fibres used to produce the sanitary paper products stated in Paragraph 2 were sourced 100% from recovered paper,</w:t>
            </w:r>
          </w:p>
        </w:tc>
      </w:tr>
      <w:tr w:rsidR="003D666E" w:rsidRPr="003C7026" w14:paraId="2347F9FD" w14:textId="77777777" w:rsidTr="00565983">
        <w:trPr>
          <w:trHeight w:val="516"/>
        </w:trPr>
        <w:tc>
          <w:tcPr>
            <w:tcW w:w="988" w:type="dxa"/>
            <w:shd w:val="clear" w:color="auto" w:fill="auto"/>
          </w:tcPr>
          <w:p w14:paraId="433383A8" w14:textId="77777777" w:rsidR="003D666E" w:rsidRPr="00F87315" w:rsidRDefault="006F203D" w:rsidP="00500850">
            <w:pPr>
              <w:pStyle w:val="Textkrper"/>
              <w:tabs>
                <w:tab w:val="left" w:pos="8222"/>
              </w:tabs>
              <w:spacing w:line="240" w:lineRule="auto"/>
              <w:jc w:val="left"/>
              <w:rPr>
                <w:b/>
                <w:sz w:val="22"/>
              </w:rPr>
            </w:pPr>
            <w:r>
              <w:rPr>
                <w:b/>
                <w:sz w:val="22"/>
              </w:rPr>
              <w:t>3.1.1</w:t>
            </w:r>
          </w:p>
        </w:tc>
        <w:tc>
          <w:tcPr>
            <w:tcW w:w="9432" w:type="dxa"/>
            <w:shd w:val="clear" w:color="auto" w:fill="auto"/>
          </w:tcPr>
          <w:p w14:paraId="2A4E921C" w14:textId="77777777" w:rsidR="003D666E" w:rsidRPr="00C32BC9" w:rsidRDefault="006F203D"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rPr>
              <w:t>crepe sanitary paper was produced from 100 % recovered paper, of which at least 80 % was sourced from the ordinary, medium and kraft paper grades and special grades (groups 1, 2, 4 and 5); 20 % of the recovered paper may be sourced from group 3,</w:t>
            </w:r>
          </w:p>
        </w:tc>
      </w:tr>
      <w:tr w:rsidR="006F203D" w:rsidRPr="003C7026" w14:paraId="4EC3D5D3" w14:textId="77777777" w:rsidTr="00565983">
        <w:trPr>
          <w:trHeight w:val="516"/>
        </w:trPr>
        <w:tc>
          <w:tcPr>
            <w:tcW w:w="988" w:type="dxa"/>
            <w:shd w:val="clear" w:color="auto" w:fill="auto"/>
          </w:tcPr>
          <w:p w14:paraId="1B4E3322" w14:textId="77777777" w:rsidR="006F203D" w:rsidRPr="00F87315" w:rsidRDefault="006F203D" w:rsidP="00500850">
            <w:pPr>
              <w:pStyle w:val="Textkrper"/>
              <w:tabs>
                <w:tab w:val="left" w:pos="8222"/>
              </w:tabs>
              <w:spacing w:line="240" w:lineRule="auto"/>
              <w:jc w:val="left"/>
              <w:rPr>
                <w:b/>
                <w:sz w:val="22"/>
              </w:rPr>
            </w:pPr>
            <w:r>
              <w:rPr>
                <w:b/>
                <w:sz w:val="22"/>
              </w:rPr>
              <w:t>3.1.2</w:t>
            </w:r>
          </w:p>
        </w:tc>
        <w:tc>
          <w:tcPr>
            <w:tcW w:w="9432" w:type="dxa"/>
            <w:shd w:val="clear" w:color="auto" w:fill="auto"/>
          </w:tcPr>
          <w:p w14:paraId="220C5920" w14:textId="77777777" w:rsidR="006F203D" w:rsidRPr="00C32BC9" w:rsidRDefault="006F203D" w:rsidP="00A646A5">
            <w:r>
              <w:t>- all sanitary paper for food contact (kitchen towels, serviettes, paper designed for or expected to be used with food) was produced from 100 % recovered paper, of which at least 50 % was sourced from the ordinary, medium and kraft paper grades and special grades (groups 1, 2, 4 and 5); 50% of the recovered paper may be sourced from group 3,</w:t>
            </w:r>
          </w:p>
        </w:tc>
      </w:tr>
      <w:tr w:rsidR="006F203D" w:rsidRPr="003C7026" w14:paraId="32FDE4C6" w14:textId="77777777" w:rsidTr="00565983">
        <w:trPr>
          <w:trHeight w:val="516"/>
        </w:trPr>
        <w:tc>
          <w:tcPr>
            <w:tcW w:w="988" w:type="dxa"/>
            <w:shd w:val="clear" w:color="auto" w:fill="auto"/>
          </w:tcPr>
          <w:p w14:paraId="49EED824" w14:textId="77777777" w:rsidR="006F203D" w:rsidRPr="00F87315" w:rsidRDefault="006F203D" w:rsidP="00500850">
            <w:pPr>
              <w:pStyle w:val="Textkrper"/>
              <w:tabs>
                <w:tab w:val="left" w:pos="8222"/>
              </w:tabs>
              <w:spacing w:line="240" w:lineRule="auto"/>
              <w:jc w:val="left"/>
              <w:rPr>
                <w:b/>
                <w:sz w:val="22"/>
              </w:rPr>
            </w:pPr>
            <w:r>
              <w:rPr>
                <w:b/>
                <w:sz w:val="22"/>
              </w:rPr>
              <w:t>3.1.3</w:t>
            </w:r>
          </w:p>
        </w:tc>
        <w:tc>
          <w:tcPr>
            <w:tcW w:w="9432" w:type="dxa"/>
            <w:shd w:val="clear" w:color="auto" w:fill="auto"/>
          </w:tcPr>
          <w:p w14:paraId="6AE6CAC5" w14:textId="77777777" w:rsidR="006F203D" w:rsidRPr="00C32BC9" w:rsidRDefault="00C32BC9"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rPr>
              <w:t>all other sanitary paper was produced from 100 % recovered paper, of which at least 65 % was sourced from the ordinary, medium and kraft paper grades and special grades (groups 1, 2, 4 and 5); 35% of the recovered paper may be sourced from group 3,</w:t>
            </w:r>
          </w:p>
        </w:tc>
      </w:tr>
      <w:tr w:rsidR="00C32BC9" w:rsidRPr="003C7026" w14:paraId="372972F9" w14:textId="77777777" w:rsidTr="00565983">
        <w:trPr>
          <w:trHeight w:val="516"/>
        </w:trPr>
        <w:tc>
          <w:tcPr>
            <w:tcW w:w="988" w:type="dxa"/>
            <w:shd w:val="clear" w:color="auto" w:fill="auto"/>
          </w:tcPr>
          <w:p w14:paraId="513E477C" w14:textId="77777777" w:rsidR="00C32BC9" w:rsidRDefault="00C32BC9" w:rsidP="00500850">
            <w:pPr>
              <w:pStyle w:val="Textkrper"/>
              <w:tabs>
                <w:tab w:val="left" w:pos="8222"/>
              </w:tabs>
              <w:spacing w:line="240" w:lineRule="auto"/>
              <w:jc w:val="left"/>
              <w:rPr>
                <w:b/>
                <w:sz w:val="22"/>
              </w:rPr>
            </w:pPr>
            <w:r>
              <w:rPr>
                <w:b/>
                <w:sz w:val="22"/>
              </w:rPr>
              <w:t>3.1.4</w:t>
            </w:r>
          </w:p>
        </w:tc>
        <w:tc>
          <w:tcPr>
            <w:tcW w:w="9432" w:type="dxa"/>
            <w:shd w:val="clear" w:color="auto" w:fill="auto"/>
          </w:tcPr>
          <w:p w14:paraId="5D494BCB" w14:textId="77777777" w:rsidR="00C32BC9" w:rsidRPr="00C32BC9" w:rsidRDefault="00C32BC9"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rPr>
              <w:t>alternatively, grades of recovered paper that could potentially contain DIPN (2.05.00, 2.05.01, 2.06.00, 2.06.01 and 5.09) were only used if an efficient technical system (e.g. wash deinking) guarantees that the DIPN is largely removed from the fibre cycle,</w:t>
            </w:r>
          </w:p>
          <w:p w14:paraId="5FED8C3A" w14:textId="77777777" w:rsidR="00C32BC9" w:rsidRPr="00C32BC9" w:rsidRDefault="00C32BC9"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rPr>
              <w:t>if the grades 2.05.00, 2.05.01, 2.06.00, 2.06.01</w:t>
            </w:r>
            <w:r>
              <w:t xml:space="preserve"> </w:t>
            </w:r>
            <w:r>
              <w:rPr>
                <w:rFonts w:ascii="Verdana" w:hAnsi="Verdana"/>
                <w:sz w:val="20"/>
              </w:rPr>
              <w:t xml:space="preserve">and 5.09 were used, the DIPN content in the finished product does not exceed a maximum of 50 mg/kg (measurements to be submitted </w:t>
            </w:r>
            <w:r>
              <w:rPr>
                <w:rFonts w:ascii="Verdana" w:hAnsi="Verdana"/>
                <w:b/>
                <w:sz w:val="20"/>
              </w:rPr>
              <w:t>once a year</w:t>
            </w:r>
            <w:r>
              <w:rPr>
                <w:rFonts w:ascii="Verdana" w:hAnsi="Verdana"/>
                <w:sz w:val="20"/>
              </w:rPr>
              <w:t xml:space="preserve"> in accordance with DIN EN 14719),</w:t>
            </w:r>
          </w:p>
        </w:tc>
      </w:tr>
      <w:tr w:rsidR="00C32BC9" w:rsidRPr="003C7026" w14:paraId="136BB6CD" w14:textId="77777777" w:rsidTr="00565983">
        <w:trPr>
          <w:trHeight w:val="516"/>
        </w:trPr>
        <w:tc>
          <w:tcPr>
            <w:tcW w:w="988" w:type="dxa"/>
            <w:shd w:val="clear" w:color="auto" w:fill="auto"/>
          </w:tcPr>
          <w:p w14:paraId="4C2C957F" w14:textId="77777777" w:rsidR="00C32BC9" w:rsidRDefault="00C32BC9" w:rsidP="00500850">
            <w:pPr>
              <w:pStyle w:val="Textkrper"/>
              <w:tabs>
                <w:tab w:val="left" w:pos="8222"/>
              </w:tabs>
              <w:spacing w:line="240" w:lineRule="auto"/>
              <w:jc w:val="left"/>
              <w:rPr>
                <w:b/>
                <w:sz w:val="22"/>
              </w:rPr>
            </w:pPr>
            <w:r>
              <w:rPr>
                <w:b/>
                <w:sz w:val="22"/>
              </w:rPr>
              <w:t>3.1.5</w:t>
            </w:r>
          </w:p>
        </w:tc>
        <w:tc>
          <w:tcPr>
            <w:tcW w:w="9432" w:type="dxa"/>
            <w:shd w:val="clear" w:color="auto" w:fill="auto"/>
          </w:tcPr>
          <w:p w14:paraId="656FF736" w14:textId="77777777" w:rsidR="00C32BC9" w:rsidRPr="00C32BC9" w:rsidRDefault="00C32BC9"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rPr>
              <w:t xml:space="preserve">the content of bisphenol A, bisphenol B and Pergafast 201 will be determined </w:t>
            </w:r>
            <w:r>
              <w:rPr>
                <w:rFonts w:ascii="Verdana" w:hAnsi="Verdana"/>
                <w:b/>
                <w:sz w:val="20"/>
              </w:rPr>
              <w:t>once a year</w:t>
            </w:r>
            <w:r>
              <w:rPr>
                <w:rFonts w:ascii="Verdana" w:hAnsi="Verdana"/>
                <w:sz w:val="20"/>
              </w:rPr>
              <w:t xml:space="preserve"> for statistical purposes by an independent testing institution (certified according to ISO 17025) and submitted to RAL gGmbH,</w:t>
            </w:r>
          </w:p>
        </w:tc>
      </w:tr>
      <w:tr w:rsidR="003D666E" w:rsidRPr="003C7026" w14:paraId="1307BEE4" w14:textId="77777777" w:rsidTr="00565983">
        <w:tc>
          <w:tcPr>
            <w:tcW w:w="988" w:type="dxa"/>
            <w:shd w:val="clear" w:color="auto" w:fill="auto"/>
          </w:tcPr>
          <w:p w14:paraId="26508455" w14:textId="77777777" w:rsidR="003D666E" w:rsidRPr="00F87315" w:rsidRDefault="003D666E" w:rsidP="00500850">
            <w:pPr>
              <w:pStyle w:val="Textkrper"/>
              <w:tabs>
                <w:tab w:val="left" w:pos="8222"/>
              </w:tabs>
              <w:spacing w:line="240" w:lineRule="auto"/>
              <w:jc w:val="left"/>
              <w:rPr>
                <w:b/>
                <w:sz w:val="22"/>
              </w:rPr>
            </w:pPr>
            <w:r>
              <w:rPr>
                <w:b/>
                <w:sz w:val="22"/>
              </w:rPr>
              <w:lastRenderedPageBreak/>
              <w:t>3.2</w:t>
            </w:r>
          </w:p>
        </w:tc>
        <w:tc>
          <w:tcPr>
            <w:tcW w:w="9432" w:type="dxa"/>
            <w:shd w:val="clear" w:color="auto" w:fill="auto"/>
          </w:tcPr>
          <w:p w14:paraId="79F16AA5" w14:textId="77777777" w:rsidR="003D666E" w:rsidRPr="00090161" w:rsidRDefault="003D666E" w:rsidP="00500850">
            <w:pPr>
              <w:pStyle w:val="Textkrpe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rPr>
              <w:t>- no substances or mixtures (e.g. colourants, surface finishing agents, auxiliaries and cleaning agents) were added that contain constituent components with the following properties:</w:t>
            </w:r>
          </w:p>
          <w:p w14:paraId="2173464A" w14:textId="258A140B" w:rsidR="003D666E" w:rsidRPr="007A77CC" w:rsidRDefault="00A646A5" w:rsidP="00771915">
            <w:pPr>
              <w:pStyle w:val="AnhangAufzhlungBuchstabe"/>
              <w:numPr>
                <w:ilvl w:val="4"/>
                <w:numId w:val="3"/>
              </w:numPr>
            </w:pPr>
            <w:r>
              <w:t>no substances were added to the product that</w:t>
            </w:r>
            <w:r w:rsidR="00771915">
              <w:t xml:space="preserve"> </w:t>
            </w:r>
            <w:r w:rsidR="003D666E">
              <w:t>are included in the so-called “list of candidates” according to Article 59, Paragraph 1 of the REACH regulation (EC/1907/2006)</w:t>
            </w:r>
            <w:r w:rsidR="00530DBA" w:rsidRPr="00710C38">
              <w:rPr>
                <w:rStyle w:val="Funotenzeichen"/>
              </w:rPr>
              <w:footnoteReference w:id="1"/>
            </w:r>
            <w:r w:rsidR="003D666E">
              <w:t xml:space="preserve"> as substances of very high concern (SVHC),</w:t>
            </w:r>
          </w:p>
          <w:p w14:paraId="5E5C5A26" w14:textId="77777777" w:rsidR="00530DBA" w:rsidRDefault="00A646A5" w:rsidP="00A646A5">
            <w:pPr>
              <w:pStyle w:val="AnhangAufzhlungBuchstabe"/>
              <w:numPr>
                <w:ilvl w:val="4"/>
                <w:numId w:val="3"/>
              </w:numPr>
            </w:pPr>
            <w:r>
              <w:t>no substances were added to the product that according to the criteria of CLP Regulation (EG/1272/2008)</w:t>
            </w:r>
            <w:r w:rsidR="00530DBA" w:rsidRPr="00710C38">
              <w:rPr>
                <w:rStyle w:val="Funotenzeichen"/>
              </w:rPr>
              <w:footnoteReference w:id="2"/>
            </w:r>
            <w:r>
              <w:t xml:space="preserve"> are classified with the following H Phrases named in Table 3-1 or which</w:t>
            </w:r>
          </w:p>
          <w:p w14:paraId="17FB58C5" w14:textId="77777777" w:rsidR="00530DBA" w:rsidRPr="00710C38" w:rsidRDefault="00530DBA" w:rsidP="00530DBA">
            <w:pPr>
              <w:pStyle w:val="AnhangAufzhlungBuchstabe"/>
              <w:numPr>
                <w:ilvl w:val="4"/>
                <w:numId w:val="3"/>
              </w:numPr>
            </w:pPr>
            <w:r>
              <w:t>are classified as carcinogenic, mutagenic or reprotoxic substances in the currently valid version of TRGS 905</w:t>
            </w:r>
            <w:r w:rsidRPr="00710C38">
              <w:rPr>
                <w:rStyle w:val="Funotenzeichen"/>
              </w:rPr>
              <w:footnoteReference w:id="3"/>
            </w:r>
            <w:r>
              <w:t>,</w:t>
            </w:r>
          </w:p>
          <w:p w14:paraId="208945CD" w14:textId="77777777" w:rsidR="00530DBA" w:rsidRDefault="00530DBA" w:rsidP="00530DBA">
            <w:pPr>
              <w:pStyle w:val="Standardklein"/>
            </w:pPr>
            <w:r>
              <w:t>Table 3-</w:t>
            </w:r>
            <w:fldSimple w:instr=" SEQ Tabelle \* ARABIC ">
              <w:r w:rsidR="00CD03BA">
                <w:rPr>
                  <w:noProof/>
                </w:rPr>
                <w:t>1</w:t>
              </w:r>
            </w:fldSimple>
            <w:r>
              <w:t>: H Phrases according to the CLP Regulation</w:t>
            </w:r>
          </w:p>
          <w:tbl>
            <w:tblPr>
              <w:tblStyle w:val="TabellefrVergabegrundlageKopfzeilegrau"/>
              <w:tblW w:w="0" w:type="auto"/>
              <w:tblLook w:val="04A0" w:firstRow="1" w:lastRow="0" w:firstColumn="1" w:lastColumn="0" w:noHBand="0" w:noVBand="1"/>
            </w:tblPr>
            <w:tblGrid>
              <w:gridCol w:w="2530"/>
              <w:gridCol w:w="6286"/>
            </w:tblGrid>
            <w:tr w:rsidR="00530DBA" w14:paraId="3DF9CEE4" w14:textId="77777777" w:rsidTr="00500850">
              <w:trPr>
                <w:cnfStyle w:val="100000000000" w:firstRow="1" w:lastRow="0" w:firstColumn="0" w:lastColumn="0" w:oddVBand="0" w:evenVBand="0" w:oddHBand="0" w:evenHBand="0" w:firstRowFirstColumn="0" w:firstRowLastColumn="0" w:lastRowFirstColumn="0" w:lastRowLastColumn="0"/>
              </w:trPr>
              <w:tc>
                <w:tcPr>
                  <w:tcW w:w="2689" w:type="dxa"/>
                </w:tcPr>
                <w:p w14:paraId="4D4780D8" w14:textId="77777777" w:rsidR="00530DBA" w:rsidRPr="00710C38" w:rsidRDefault="00530DBA" w:rsidP="00530DBA">
                  <w:pPr>
                    <w:pStyle w:val="Tabellentextfettkleinlinksbndig"/>
                  </w:pPr>
                  <w:r>
                    <w:t>EC Regulation 1272/2008</w:t>
                  </w:r>
                </w:p>
                <w:p w14:paraId="4B26C139" w14:textId="77777777" w:rsidR="00530DBA" w:rsidRDefault="00530DBA" w:rsidP="00530DBA">
                  <w:pPr>
                    <w:pStyle w:val="Tabellentextfettkleinlinksbndig"/>
                  </w:pPr>
                  <w:r>
                    <w:t>(GHS Regulation)</w:t>
                  </w:r>
                </w:p>
              </w:tc>
              <w:tc>
                <w:tcPr>
                  <w:tcW w:w="6939" w:type="dxa"/>
                </w:tcPr>
                <w:p w14:paraId="28CF90FC" w14:textId="77777777" w:rsidR="00530DBA" w:rsidRDefault="00530DBA" w:rsidP="00530DBA">
                  <w:pPr>
                    <w:pStyle w:val="Tabellentextfettkleinlinksbndig"/>
                  </w:pPr>
                  <w:r>
                    <w:t>Wording</w:t>
                  </w:r>
                </w:p>
              </w:tc>
            </w:tr>
            <w:tr w:rsidR="00530DBA" w14:paraId="3D3CAD1B" w14:textId="77777777" w:rsidTr="00500850">
              <w:tc>
                <w:tcPr>
                  <w:tcW w:w="9628" w:type="dxa"/>
                  <w:gridSpan w:val="2"/>
                </w:tcPr>
                <w:p w14:paraId="3382D546" w14:textId="77777777" w:rsidR="00530DBA" w:rsidRPr="00710C38" w:rsidRDefault="00530DBA" w:rsidP="00530DBA">
                  <w:pPr>
                    <w:pStyle w:val="Tabellentextfettkleinlinksbndig"/>
                  </w:pPr>
                  <w:r>
                    <w:rPr>
                      <w:rStyle w:val="StandardfettnurWort"/>
                    </w:rPr>
                    <w:t>Carcinogenic, mutagenic and reprotoxic substances</w:t>
                  </w:r>
                </w:p>
              </w:tc>
            </w:tr>
            <w:tr w:rsidR="00530DBA" w14:paraId="29C70EBD" w14:textId="77777777" w:rsidTr="00500850">
              <w:tc>
                <w:tcPr>
                  <w:tcW w:w="2689" w:type="dxa"/>
                </w:tcPr>
                <w:p w14:paraId="5BC9B402" w14:textId="77777777" w:rsidR="00530DBA" w:rsidRPr="00710C38" w:rsidRDefault="00530DBA" w:rsidP="00530DBA">
                  <w:pPr>
                    <w:pStyle w:val="Tabellentextstandardkleinlinksbndig"/>
                  </w:pPr>
                  <w:r>
                    <w:t>H340</w:t>
                  </w:r>
                </w:p>
              </w:tc>
              <w:tc>
                <w:tcPr>
                  <w:tcW w:w="6939" w:type="dxa"/>
                </w:tcPr>
                <w:p w14:paraId="640B8A57" w14:textId="77777777" w:rsidR="00530DBA" w:rsidRPr="00710C38" w:rsidRDefault="00530DBA" w:rsidP="00530DBA">
                  <w:pPr>
                    <w:pStyle w:val="Tabellentextstandardkleinlinksbndig"/>
                  </w:pPr>
                  <w:r>
                    <w:t>May cause genetic defects.</w:t>
                  </w:r>
                </w:p>
              </w:tc>
            </w:tr>
            <w:tr w:rsidR="00530DBA" w14:paraId="113E3FF9" w14:textId="77777777" w:rsidTr="00500850">
              <w:tc>
                <w:tcPr>
                  <w:tcW w:w="2689" w:type="dxa"/>
                </w:tcPr>
                <w:p w14:paraId="548D280C" w14:textId="77777777" w:rsidR="00530DBA" w:rsidRPr="00710C38" w:rsidRDefault="00530DBA" w:rsidP="00530DBA">
                  <w:pPr>
                    <w:pStyle w:val="Tabellentextstandardkleinlinksbndig"/>
                  </w:pPr>
                  <w:r>
                    <w:t>H341</w:t>
                  </w:r>
                </w:p>
              </w:tc>
              <w:tc>
                <w:tcPr>
                  <w:tcW w:w="6939" w:type="dxa"/>
                </w:tcPr>
                <w:p w14:paraId="464647D3" w14:textId="77777777" w:rsidR="00530DBA" w:rsidRPr="00710C38" w:rsidRDefault="00530DBA" w:rsidP="00530DBA">
                  <w:pPr>
                    <w:pStyle w:val="Tabellentextstandardkleinlinksbndig"/>
                  </w:pPr>
                  <w:r>
                    <w:t>Suspected of causing genetic defects.</w:t>
                  </w:r>
                </w:p>
              </w:tc>
            </w:tr>
            <w:tr w:rsidR="00530DBA" w14:paraId="3EF64388" w14:textId="77777777" w:rsidTr="00500850">
              <w:tc>
                <w:tcPr>
                  <w:tcW w:w="2689" w:type="dxa"/>
                </w:tcPr>
                <w:p w14:paraId="1C28F087" w14:textId="77777777" w:rsidR="00530DBA" w:rsidRPr="00710C38" w:rsidRDefault="00530DBA" w:rsidP="00530DBA">
                  <w:pPr>
                    <w:pStyle w:val="Tabellentextstandardkleinlinksbndig"/>
                  </w:pPr>
                  <w:r>
                    <w:t>H350</w:t>
                  </w:r>
                </w:p>
              </w:tc>
              <w:tc>
                <w:tcPr>
                  <w:tcW w:w="6939" w:type="dxa"/>
                </w:tcPr>
                <w:p w14:paraId="69A01FF1" w14:textId="77777777" w:rsidR="00530DBA" w:rsidRPr="00710C38" w:rsidRDefault="00530DBA" w:rsidP="00530DBA">
                  <w:pPr>
                    <w:pStyle w:val="Tabellentextstandardkleinlinksbndig"/>
                  </w:pPr>
                  <w:r>
                    <w:t>May cause cancer.</w:t>
                  </w:r>
                </w:p>
              </w:tc>
            </w:tr>
            <w:tr w:rsidR="00530DBA" w14:paraId="5164B84A" w14:textId="77777777" w:rsidTr="00500850">
              <w:tc>
                <w:tcPr>
                  <w:tcW w:w="2689" w:type="dxa"/>
                </w:tcPr>
                <w:p w14:paraId="0889903A" w14:textId="77777777" w:rsidR="00530DBA" w:rsidRPr="00710C38" w:rsidRDefault="00530DBA" w:rsidP="00530DBA">
                  <w:pPr>
                    <w:pStyle w:val="Tabellentextstandardkleinlinksbndig"/>
                  </w:pPr>
                  <w:r>
                    <w:t>H350i</w:t>
                  </w:r>
                </w:p>
              </w:tc>
              <w:tc>
                <w:tcPr>
                  <w:tcW w:w="6939" w:type="dxa"/>
                </w:tcPr>
                <w:p w14:paraId="206EB00D" w14:textId="77777777" w:rsidR="00530DBA" w:rsidRPr="00710C38" w:rsidRDefault="00530DBA" w:rsidP="00530DBA">
                  <w:pPr>
                    <w:pStyle w:val="Tabellentextstandardkleinlinksbndig"/>
                  </w:pPr>
                  <w:r>
                    <w:t>May cause cancer if inhaled.</w:t>
                  </w:r>
                </w:p>
              </w:tc>
            </w:tr>
            <w:tr w:rsidR="00530DBA" w14:paraId="0F278EDC" w14:textId="77777777" w:rsidTr="00500850">
              <w:tc>
                <w:tcPr>
                  <w:tcW w:w="2689" w:type="dxa"/>
                </w:tcPr>
                <w:p w14:paraId="1FFED95C" w14:textId="77777777" w:rsidR="00530DBA" w:rsidRPr="00710C38" w:rsidRDefault="00530DBA" w:rsidP="00530DBA">
                  <w:pPr>
                    <w:pStyle w:val="Tabellentextstandardkleinlinksbndig"/>
                  </w:pPr>
                  <w:r>
                    <w:t>H351</w:t>
                  </w:r>
                  <w:r w:rsidRPr="00710C38">
                    <w:rPr>
                      <w:rStyle w:val="Funotenzeichen"/>
                    </w:rPr>
                    <w:footnoteReference w:id="4"/>
                  </w:r>
                </w:p>
              </w:tc>
              <w:tc>
                <w:tcPr>
                  <w:tcW w:w="6939" w:type="dxa"/>
                </w:tcPr>
                <w:p w14:paraId="0EE5562C" w14:textId="77777777" w:rsidR="00530DBA" w:rsidRPr="00710C38" w:rsidRDefault="00530DBA" w:rsidP="00530DBA">
                  <w:pPr>
                    <w:pStyle w:val="Tabellentextstandardkleinlinksbndig"/>
                  </w:pPr>
                  <w:r>
                    <w:t>Suspected of causing cancer.</w:t>
                  </w:r>
                </w:p>
              </w:tc>
            </w:tr>
            <w:tr w:rsidR="00530DBA" w14:paraId="470FA994" w14:textId="77777777" w:rsidTr="00500850">
              <w:tc>
                <w:tcPr>
                  <w:tcW w:w="2689" w:type="dxa"/>
                </w:tcPr>
                <w:p w14:paraId="7BA03C39" w14:textId="77777777" w:rsidR="00530DBA" w:rsidRPr="00710C38" w:rsidRDefault="00530DBA" w:rsidP="00530DBA">
                  <w:pPr>
                    <w:pStyle w:val="Tabellentextstandardkleinlinksbndig"/>
                  </w:pPr>
                  <w:r>
                    <w:t>H360F</w:t>
                  </w:r>
                </w:p>
              </w:tc>
              <w:tc>
                <w:tcPr>
                  <w:tcW w:w="6939" w:type="dxa"/>
                </w:tcPr>
                <w:p w14:paraId="4D3360A6" w14:textId="77777777" w:rsidR="00530DBA" w:rsidRPr="00710C38" w:rsidRDefault="00530DBA" w:rsidP="00530DBA">
                  <w:pPr>
                    <w:pStyle w:val="Tabellentextstandardkleinlinksbndig"/>
                  </w:pPr>
                  <w:r>
                    <w:t>May damage fertility.</w:t>
                  </w:r>
                </w:p>
              </w:tc>
            </w:tr>
            <w:tr w:rsidR="00530DBA" w14:paraId="59CFB017" w14:textId="77777777" w:rsidTr="00500850">
              <w:tc>
                <w:tcPr>
                  <w:tcW w:w="2689" w:type="dxa"/>
                </w:tcPr>
                <w:p w14:paraId="3EE97479" w14:textId="77777777" w:rsidR="00530DBA" w:rsidRPr="00710C38" w:rsidRDefault="00530DBA" w:rsidP="00530DBA">
                  <w:pPr>
                    <w:pStyle w:val="Tabellentextstandardkleinlinksbndig"/>
                  </w:pPr>
                  <w:r>
                    <w:t>H360D</w:t>
                  </w:r>
                </w:p>
              </w:tc>
              <w:tc>
                <w:tcPr>
                  <w:tcW w:w="6939" w:type="dxa"/>
                </w:tcPr>
                <w:p w14:paraId="1D261A67" w14:textId="77777777" w:rsidR="00530DBA" w:rsidRPr="00710C38" w:rsidRDefault="00530DBA" w:rsidP="00530DBA">
                  <w:pPr>
                    <w:pStyle w:val="Tabellentextstandardkleinlinksbndig"/>
                  </w:pPr>
                  <w:r>
                    <w:t>May damage the unborn child.</w:t>
                  </w:r>
                </w:p>
              </w:tc>
            </w:tr>
            <w:tr w:rsidR="00530DBA" w14:paraId="64E66399" w14:textId="77777777" w:rsidTr="00500850">
              <w:tc>
                <w:tcPr>
                  <w:tcW w:w="2689" w:type="dxa"/>
                </w:tcPr>
                <w:p w14:paraId="0FA357EC" w14:textId="77777777" w:rsidR="00530DBA" w:rsidRPr="00710C38" w:rsidRDefault="00530DBA" w:rsidP="00530DBA">
                  <w:pPr>
                    <w:pStyle w:val="Tabellentextstandardkleinlinksbndig"/>
                  </w:pPr>
                  <w:r>
                    <w:t>H360FD</w:t>
                  </w:r>
                </w:p>
              </w:tc>
              <w:tc>
                <w:tcPr>
                  <w:tcW w:w="6939" w:type="dxa"/>
                </w:tcPr>
                <w:p w14:paraId="0870ABFD" w14:textId="77777777" w:rsidR="00530DBA" w:rsidRPr="00710C38" w:rsidRDefault="00530DBA" w:rsidP="00530DBA">
                  <w:pPr>
                    <w:pStyle w:val="Tabellentextstandardkleinlinksbndig"/>
                  </w:pPr>
                  <w:r>
                    <w:t>May damage fertility.</w:t>
                  </w:r>
                </w:p>
                <w:p w14:paraId="6582C5AD" w14:textId="77777777" w:rsidR="00530DBA" w:rsidRPr="00710C38" w:rsidRDefault="00530DBA" w:rsidP="00530DBA">
                  <w:pPr>
                    <w:pStyle w:val="Tabellentextstandardkleinlinksbndig"/>
                  </w:pPr>
                  <w:r>
                    <w:t>May damage the unborn child.</w:t>
                  </w:r>
                </w:p>
              </w:tc>
            </w:tr>
            <w:tr w:rsidR="00530DBA" w14:paraId="198F7922" w14:textId="77777777" w:rsidTr="00500850">
              <w:tc>
                <w:tcPr>
                  <w:tcW w:w="2689" w:type="dxa"/>
                </w:tcPr>
                <w:p w14:paraId="7587D80B" w14:textId="77777777" w:rsidR="00530DBA" w:rsidRPr="00710C38" w:rsidRDefault="00530DBA" w:rsidP="00530DBA">
                  <w:pPr>
                    <w:pStyle w:val="Tabellentextstandardkleinlinksbndig"/>
                  </w:pPr>
                  <w:r>
                    <w:t>H360Fd</w:t>
                  </w:r>
                </w:p>
              </w:tc>
              <w:tc>
                <w:tcPr>
                  <w:tcW w:w="6939" w:type="dxa"/>
                </w:tcPr>
                <w:p w14:paraId="77781AAC" w14:textId="77777777" w:rsidR="00530DBA" w:rsidRPr="00710C38" w:rsidRDefault="00530DBA" w:rsidP="00530DBA">
                  <w:pPr>
                    <w:pStyle w:val="Tabellentextstandardkleinlinksbndig"/>
                  </w:pPr>
                  <w:r>
                    <w:t>May damage fertility.</w:t>
                  </w:r>
                </w:p>
                <w:p w14:paraId="55A44247" w14:textId="77777777" w:rsidR="00530DBA" w:rsidRPr="00710C38" w:rsidRDefault="00530DBA" w:rsidP="00530DBA">
                  <w:pPr>
                    <w:pStyle w:val="Tabellentextstandardkleinlinksbndig"/>
                  </w:pPr>
                  <w:r>
                    <w:t>Suspected of damaging the unborn child.</w:t>
                  </w:r>
                </w:p>
              </w:tc>
            </w:tr>
            <w:tr w:rsidR="00530DBA" w14:paraId="3167FB56" w14:textId="77777777" w:rsidTr="00500850">
              <w:tc>
                <w:tcPr>
                  <w:tcW w:w="2689" w:type="dxa"/>
                </w:tcPr>
                <w:p w14:paraId="3026D0F0" w14:textId="77777777" w:rsidR="00530DBA" w:rsidRPr="00710C38" w:rsidRDefault="00530DBA" w:rsidP="00530DBA">
                  <w:pPr>
                    <w:pStyle w:val="Tabellentextstandardkleinlinksbndig"/>
                  </w:pPr>
                  <w:r>
                    <w:t>H360Df</w:t>
                  </w:r>
                </w:p>
              </w:tc>
              <w:tc>
                <w:tcPr>
                  <w:tcW w:w="6939" w:type="dxa"/>
                </w:tcPr>
                <w:p w14:paraId="5C2A5AE2" w14:textId="77777777" w:rsidR="00530DBA" w:rsidRPr="00710C38" w:rsidRDefault="00530DBA" w:rsidP="00530DBA">
                  <w:pPr>
                    <w:pStyle w:val="Tabellentextstandardkleinlinksbndig"/>
                  </w:pPr>
                  <w:r>
                    <w:t>May damage the unborn child.</w:t>
                  </w:r>
                </w:p>
                <w:p w14:paraId="5FED65D1" w14:textId="77777777" w:rsidR="00530DBA" w:rsidRPr="00710C38" w:rsidRDefault="00530DBA" w:rsidP="00530DBA">
                  <w:pPr>
                    <w:pStyle w:val="Tabellentextstandardkleinlinksbndig"/>
                  </w:pPr>
                  <w:r>
                    <w:t>Suspected of damaging fertility.</w:t>
                  </w:r>
                </w:p>
              </w:tc>
            </w:tr>
            <w:tr w:rsidR="00530DBA" w14:paraId="58D97E3B" w14:textId="77777777" w:rsidTr="00500850">
              <w:tc>
                <w:tcPr>
                  <w:tcW w:w="2689" w:type="dxa"/>
                </w:tcPr>
                <w:p w14:paraId="7D21E81B" w14:textId="77777777" w:rsidR="00530DBA" w:rsidRPr="00710C38" w:rsidRDefault="00530DBA" w:rsidP="00530DBA">
                  <w:pPr>
                    <w:pStyle w:val="Tabellentextstandardkleinlinksbndig"/>
                  </w:pPr>
                  <w:r>
                    <w:t>H361f</w:t>
                  </w:r>
                </w:p>
              </w:tc>
              <w:tc>
                <w:tcPr>
                  <w:tcW w:w="6939" w:type="dxa"/>
                </w:tcPr>
                <w:p w14:paraId="18D25A28" w14:textId="77777777" w:rsidR="00530DBA" w:rsidRPr="00710C38" w:rsidRDefault="00530DBA" w:rsidP="00530DBA">
                  <w:pPr>
                    <w:pStyle w:val="Tabellentextstandardkleinlinksbndig"/>
                  </w:pPr>
                  <w:r>
                    <w:t>Suspected of damaging fertility.</w:t>
                  </w:r>
                </w:p>
              </w:tc>
            </w:tr>
            <w:tr w:rsidR="00530DBA" w14:paraId="7089669B" w14:textId="77777777" w:rsidTr="00500850">
              <w:tc>
                <w:tcPr>
                  <w:tcW w:w="2689" w:type="dxa"/>
                </w:tcPr>
                <w:p w14:paraId="2ACC8523" w14:textId="77777777" w:rsidR="00530DBA" w:rsidRPr="00710C38" w:rsidRDefault="00530DBA" w:rsidP="00530DBA">
                  <w:pPr>
                    <w:pStyle w:val="Tabellentextstandardkleinlinksbndig"/>
                  </w:pPr>
                  <w:r>
                    <w:t>H361d</w:t>
                  </w:r>
                </w:p>
              </w:tc>
              <w:tc>
                <w:tcPr>
                  <w:tcW w:w="6939" w:type="dxa"/>
                </w:tcPr>
                <w:p w14:paraId="031C522E" w14:textId="77777777" w:rsidR="00530DBA" w:rsidRPr="00710C38" w:rsidRDefault="00530DBA" w:rsidP="00530DBA">
                  <w:pPr>
                    <w:pStyle w:val="Tabellentextstandardkleinlinksbndig"/>
                  </w:pPr>
                  <w:r>
                    <w:t>Suspected of damaging the unborn child.</w:t>
                  </w:r>
                </w:p>
              </w:tc>
            </w:tr>
            <w:tr w:rsidR="00530DBA" w14:paraId="6A816716" w14:textId="77777777" w:rsidTr="00500850">
              <w:tc>
                <w:tcPr>
                  <w:tcW w:w="2689" w:type="dxa"/>
                </w:tcPr>
                <w:p w14:paraId="6232357B" w14:textId="77777777" w:rsidR="00530DBA" w:rsidRPr="00710C38" w:rsidRDefault="00530DBA" w:rsidP="00530DBA">
                  <w:pPr>
                    <w:pStyle w:val="Tabellentextstandardkleinlinksbndig"/>
                  </w:pPr>
                  <w:r>
                    <w:t>H361fd</w:t>
                  </w:r>
                </w:p>
              </w:tc>
              <w:tc>
                <w:tcPr>
                  <w:tcW w:w="6939" w:type="dxa"/>
                </w:tcPr>
                <w:p w14:paraId="3B3A931D" w14:textId="77777777" w:rsidR="00530DBA" w:rsidRPr="00710C38" w:rsidRDefault="00530DBA" w:rsidP="00530DBA">
                  <w:pPr>
                    <w:pStyle w:val="Tabellentextstandardkleinlinksbndig"/>
                  </w:pPr>
                  <w:r>
                    <w:t xml:space="preserve">Suspected of damaging fertility. </w:t>
                  </w:r>
                </w:p>
                <w:p w14:paraId="512A9ACC" w14:textId="77777777" w:rsidR="00530DBA" w:rsidRPr="00710C38" w:rsidRDefault="00530DBA" w:rsidP="00530DBA">
                  <w:pPr>
                    <w:pStyle w:val="Tabellentextstandardkleinlinksbndig"/>
                  </w:pPr>
                  <w:r>
                    <w:t>Suspected of damaging the unborn child.</w:t>
                  </w:r>
                </w:p>
              </w:tc>
            </w:tr>
            <w:tr w:rsidR="00530DBA" w14:paraId="5C9F2E54" w14:textId="77777777" w:rsidTr="00500850">
              <w:tc>
                <w:tcPr>
                  <w:tcW w:w="9628" w:type="dxa"/>
                  <w:gridSpan w:val="2"/>
                </w:tcPr>
                <w:p w14:paraId="015CB52D" w14:textId="77777777" w:rsidR="00530DBA" w:rsidRPr="00710C38" w:rsidRDefault="00530DBA" w:rsidP="00530DBA">
                  <w:pPr>
                    <w:pStyle w:val="Tabellentextfettkleinlinksbndig"/>
                  </w:pPr>
                  <w:r>
                    <w:rPr>
                      <w:rStyle w:val="StandardfettnurWort"/>
                    </w:rPr>
                    <w:t>Sensitizing substances</w:t>
                  </w:r>
                </w:p>
              </w:tc>
            </w:tr>
            <w:tr w:rsidR="00530DBA" w14:paraId="08BC11C6" w14:textId="77777777" w:rsidTr="00500850">
              <w:tc>
                <w:tcPr>
                  <w:tcW w:w="2689" w:type="dxa"/>
                </w:tcPr>
                <w:p w14:paraId="61C12215" w14:textId="77777777" w:rsidR="00530DBA" w:rsidRPr="00710C38" w:rsidRDefault="00530DBA" w:rsidP="00530DBA">
                  <w:pPr>
                    <w:pStyle w:val="Tabellentextstandardkleinlinksbndig"/>
                  </w:pPr>
                  <w:r>
                    <w:t>H317</w:t>
                  </w:r>
                  <w:r w:rsidRPr="00710C38">
                    <w:rPr>
                      <w:rStyle w:val="Funotenzeichen"/>
                    </w:rPr>
                    <w:footnoteReference w:id="5"/>
                  </w:r>
                </w:p>
              </w:tc>
              <w:tc>
                <w:tcPr>
                  <w:tcW w:w="6939" w:type="dxa"/>
                </w:tcPr>
                <w:p w14:paraId="49457591" w14:textId="77777777" w:rsidR="00530DBA" w:rsidRPr="00710C38" w:rsidRDefault="00530DBA" w:rsidP="00530DBA">
                  <w:pPr>
                    <w:pStyle w:val="Tabellentextstandardkleinlinksbndig"/>
                  </w:pPr>
                  <w:r>
                    <w:t>May cause an allergic skin reaction.</w:t>
                  </w:r>
                </w:p>
              </w:tc>
            </w:tr>
            <w:tr w:rsidR="00530DBA" w14:paraId="398D1D0A" w14:textId="77777777" w:rsidTr="00500850">
              <w:tc>
                <w:tcPr>
                  <w:tcW w:w="2689" w:type="dxa"/>
                </w:tcPr>
                <w:p w14:paraId="32028118" w14:textId="77777777" w:rsidR="00530DBA" w:rsidRPr="00710C38" w:rsidRDefault="00530DBA" w:rsidP="00530DBA">
                  <w:pPr>
                    <w:pStyle w:val="Tabellentextstandardkleinlinksbndig"/>
                  </w:pPr>
                  <w:r>
                    <w:t>H344</w:t>
                  </w:r>
                </w:p>
              </w:tc>
              <w:tc>
                <w:tcPr>
                  <w:tcW w:w="6939" w:type="dxa"/>
                </w:tcPr>
                <w:p w14:paraId="251F36FC" w14:textId="77777777" w:rsidR="00530DBA" w:rsidRPr="00710C38" w:rsidRDefault="00530DBA" w:rsidP="00530DBA">
                  <w:pPr>
                    <w:pStyle w:val="Tabellentextstandardkleinlinksbndig"/>
                  </w:pPr>
                  <w:r>
                    <w:t>May cause allergy or asthma symptoms or breathing difficulties if inhaled</w:t>
                  </w:r>
                </w:p>
              </w:tc>
            </w:tr>
          </w:tbl>
          <w:p w14:paraId="759FEB03" w14:textId="77777777" w:rsidR="00530DBA" w:rsidRPr="00090161" w:rsidRDefault="00530DBA" w:rsidP="00500850">
            <w:pPr>
              <w:pStyle w:val="Textkrper"/>
              <w:tabs>
                <w:tab w:val="clear" w:pos="284"/>
                <w:tab w:val="clear" w:pos="851"/>
                <w:tab w:val="left" w:pos="8222"/>
              </w:tabs>
              <w:spacing w:line="240" w:lineRule="auto"/>
              <w:ind w:left="155" w:hanging="220"/>
              <w:jc w:val="left"/>
              <w:rPr>
                <w:rFonts w:ascii="Verdana" w:hAnsi="Verdana"/>
                <w:sz w:val="20"/>
                <w:szCs w:val="20"/>
              </w:rPr>
            </w:pPr>
          </w:p>
        </w:tc>
      </w:tr>
      <w:tr w:rsidR="003D666E" w:rsidRPr="00090161" w14:paraId="1179465D" w14:textId="77777777" w:rsidTr="00565983">
        <w:tc>
          <w:tcPr>
            <w:tcW w:w="988" w:type="dxa"/>
            <w:shd w:val="clear" w:color="auto" w:fill="auto"/>
          </w:tcPr>
          <w:p w14:paraId="2B32DA6A" w14:textId="77777777"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rPr>
              <w:t>3.3</w:t>
            </w:r>
          </w:p>
        </w:tc>
        <w:tc>
          <w:tcPr>
            <w:tcW w:w="9432" w:type="dxa"/>
            <w:shd w:val="clear" w:color="auto" w:fill="auto"/>
          </w:tcPr>
          <w:p w14:paraId="58F1E714" w14:textId="77777777" w:rsidR="001D1040" w:rsidRDefault="003D666E" w:rsidP="001D1040">
            <w:r>
              <w:t>- only those production aids and paper refining agents that are listed in Recommendation XXXVI from the BfR for “Paper and board for food contact”</w:t>
            </w:r>
            <w:r w:rsidR="001D1040" w:rsidRPr="008F363F">
              <w:rPr>
                <w:rStyle w:val="Funotenzeichen"/>
              </w:rPr>
              <w:footnoteReference w:id="6"/>
            </w:r>
            <w:r>
              <w:t xml:space="preserve"> (positive list) in sections B (production aids) and C (special paper refining agents) were added to the product, </w:t>
            </w:r>
          </w:p>
          <w:p w14:paraId="533ACA8C" w14:textId="77777777" w:rsidR="003D666E" w:rsidRPr="00090161" w:rsidRDefault="003D666E" w:rsidP="001D1040">
            <w:pPr>
              <w:pStyle w:val="Textkrper"/>
              <w:tabs>
                <w:tab w:val="left" w:pos="8222"/>
              </w:tabs>
              <w:spacing w:line="240" w:lineRule="auto"/>
              <w:ind w:left="155" w:hanging="155"/>
              <w:jc w:val="left"/>
              <w:rPr>
                <w:rFonts w:ascii="Verdana" w:hAnsi="Verdana"/>
                <w:sz w:val="20"/>
                <w:szCs w:val="20"/>
              </w:rPr>
            </w:pPr>
            <w:r>
              <w:rPr>
                <w:rFonts w:ascii="Verdana" w:hAnsi="Verdana"/>
                <w:sz w:val="20"/>
              </w:rPr>
              <w:t>- the maximum limits stated in the recommendation must be observed for each type of product,</w:t>
            </w:r>
          </w:p>
        </w:tc>
      </w:tr>
      <w:tr w:rsidR="003D666E" w:rsidRPr="00090161" w14:paraId="0B1D9FA1" w14:textId="77777777" w:rsidTr="00565983">
        <w:tc>
          <w:tcPr>
            <w:tcW w:w="988" w:type="dxa"/>
            <w:shd w:val="clear" w:color="auto" w:fill="auto"/>
          </w:tcPr>
          <w:p w14:paraId="748D07AB" w14:textId="77777777" w:rsidR="003D666E"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rPr>
              <w:lastRenderedPageBreak/>
              <w:t>3.4.1</w:t>
            </w:r>
          </w:p>
        </w:tc>
        <w:tc>
          <w:tcPr>
            <w:tcW w:w="9432" w:type="dxa"/>
            <w:shd w:val="clear" w:color="auto" w:fill="auto"/>
          </w:tcPr>
          <w:p w14:paraId="616C1990" w14:textId="77777777" w:rsidR="003D666E" w:rsidRDefault="003D666E" w:rsidP="00A646A5">
            <w:pPr>
              <w:pStyle w:val="Textkrper"/>
              <w:tabs>
                <w:tab w:val="left" w:pos="8222"/>
              </w:tabs>
              <w:spacing w:line="240" w:lineRule="auto"/>
              <w:ind w:left="155" w:hanging="155"/>
              <w:jc w:val="left"/>
              <w:rPr>
                <w:rFonts w:ascii="Verdana" w:hAnsi="Verdana"/>
                <w:sz w:val="20"/>
                <w:szCs w:val="20"/>
              </w:rPr>
            </w:pPr>
            <w:r>
              <w:rPr>
                <w:rFonts w:ascii="Verdana" w:hAnsi="Verdana"/>
                <w:sz w:val="20"/>
              </w:rPr>
              <w:t>- the recovered paper was processed without the use of chlorine, halogenated bleaching agents and not readily biodegradable complexing agents such as e.g. ehylenediaminetetraacetic acid (EDTA) and diethylenetriaminepentaacetic acid (DTPA),</w:t>
            </w:r>
          </w:p>
        </w:tc>
      </w:tr>
      <w:tr w:rsidR="000938FF" w:rsidRPr="00090161" w14:paraId="6EA35069" w14:textId="77777777" w:rsidTr="00565983">
        <w:tc>
          <w:tcPr>
            <w:tcW w:w="988" w:type="dxa"/>
            <w:shd w:val="clear" w:color="auto" w:fill="auto"/>
          </w:tcPr>
          <w:p w14:paraId="0A818FB3" w14:textId="77777777" w:rsidR="000938FF" w:rsidRDefault="000938FF" w:rsidP="00500850">
            <w:pPr>
              <w:pStyle w:val="Textkrper"/>
              <w:tabs>
                <w:tab w:val="left" w:pos="8222"/>
              </w:tabs>
              <w:spacing w:line="240" w:lineRule="auto"/>
              <w:jc w:val="left"/>
              <w:rPr>
                <w:rFonts w:ascii="Verdana" w:hAnsi="Verdana"/>
                <w:b/>
                <w:sz w:val="20"/>
                <w:szCs w:val="20"/>
              </w:rPr>
            </w:pPr>
            <w:r>
              <w:rPr>
                <w:rFonts w:ascii="Verdana" w:hAnsi="Verdana"/>
                <w:b/>
                <w:sz w:val="20"/>
              </w:rPr>
              <w:t>3.4.2</w:t>
            </w:r>
          </w:p>
        </w:tc>
        <w:tc>
          <w:tcPr>
            <w:tcW w:w="9432" w:type="dxa"/>
            <w:shd w:val="clear" w:color="auto" w:fill="auto"/>
          </w:tcPr>
          <w:p w14:paraId="27727FF3" w14:textId="77777777" w:rsidR="000938FF" w:rsidRDefault="000938FF"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no additional optical brighteners were added (However, a certain </w:t>
            </w:r>
            <w:proofErr w:type="gramStart"/>
            <w:r>
              <w:rPr>
                <w:rFonts w:ascii="Verdana" w:hAnsi="Verdana"/>
                <w:sz w:val="20"/>
              </w:rPr>
              <w:t>amount</w:t>
            </w:r>
            <w:proofErr w:type="gramEnd"/>
            <w:r>
              <w:rPr>
                <w:rFonts w:ascii="Verdana" w:hAnsi="Verdana"/>
                <w:sz w:val="20"/>
              </w:rPr>
              <w:t xml:space="preserve"> of optical brighteners will already be contained in the product due to the use of recovered paper),</w:t>
            </w:r>
          </w:p>
        </w:tc>
      </w:tr>
      <w:tr w:rsidR="000938FF" w:rsidRPr="00090161" w14:paraId="2657A19F" w14:textId="77777777" w:rsidTr="00565983">
        <w:tc>
          <w:tcPr>
            <w:tcW w:w="988" w:type="dxa"/>
            <w:shd w:val="clear" w:color="auto" w:fill="auto"/>
          </w:tcPr>
          <w:p w14:paraId="0A50C2C2" w14:textId="77777777" w:rsidR="000938FF" w:rsidRDefault="000938FF" w:rsidP="00500850">
            <w:pPr>
              <w:pStyle w:val="Textkrper"/>
              <w:tabs>
                <w:tab w:val="left" w:pos="8222"/>
              </w:tabs>
              <w:spacing w:line="240" w:lineRule="auto"/>
              <w:jc w:val="left"/>
              <w:rPr>
                <w:rFonts w:ascii="Verdana" w:hAnsi="Verdana"/>
                <w:b/>
                <w:sz w:val="20"/>
                <w:szCs w:val="20"/>
              </w:rPr>
            </w:pPr>
            <w:r>
              <w:rPr>
                <w:rFonts w:ascii="Verdana" w:hAnsi="Verdana"/>
                <w:b/>
                <w:sz w:val="20"/>
              </w:rPr>
              <w:t>3.4.3</w:t>
            </w:r>
          </w:p>
        </w:tc>
        <w:tc>
          <w:tcPr>
            <w:tcW w:w="9432" w:type="dxa"/>
            <w:shd w:val="clear" w:color="auto" w:fill="auto"/>
          </w:tcPr>
          <w:p w14:paraId="574C54A2" w14:textId="77777777" w:rsidR="000938FF" w:rsidRDefault="0010412B"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no wet or dry strength agents or other auxiliaries containing glyoxal were used in the production of the sanitary paper,</w:t>
            </w:r>
          </w:p>
        </w:tc>
      </w:tr>
      <w:tr w:rsidR="000938FF" w:rsidRPr="00090161" w14:paraId="28027C13" w14:textId="77777777" w:rsidTr="00565983">
        <w:tc>
          <w:tcPr>
            <w:tcW w:w="988" w:type="dxa"/>
            <w:shd w:val="clear" w:color="auto" w:fill="auto"/>
          </w:tcPr>
          <w:p w14:paraId="0AE01147" w14:textId="77777777" w:rsidR="000938FF" w:rsidRDefault="00E815E5" w:rsidP="00500850">
            <w:pPr>
              <w:pStyle w:val="Textkrper"/>
              <w:tabs>
                <w:tab w:val="left" w:pos="8222"/>
              </w:tabs>
              <w:spacing w:line="240" w:lineRule="auto"/>
              <w:jc w:val="left"/>
              <w:rPr>
                <w:rFonts w:ascii="Verdana" w:hAnsi="Verdana"/>
                <w:b/>
                <w:sz w:val="20"/>
                <w:szCs w:val="20"/>
              </w:rPr>
            </w:pPr>
            <w:r>
              <w:rPr>
                <w:rFonts w:ascii="Verdana" w:hAnsi="Verdana"/>
                <w:b/>
                <w:sz w:val="20"/>
              </w:rPr>
              <w:t>3.4.4</w:t>
            </w:r>
          </w:p>
        </w:tc>
        <w:tc>
          <w:tcPr>
            <w:tcW w:w="9432" w:type="dxa"/>
            <w:shd w:val="clear" w:color="auto" w:fill="auto"/>
          </w:tcPr>
          <w:p w14:paraId="51039354" w14:textId="77777777" w:rsidR="000938FF" w:rsidRPr="00011D99" w:rsidRDefault="00E815E5"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no azo dyes or pigments that can cleave to any of the amines named in REACH Regulation (EC) No. 1907/2006, Annex 8, or the latest version of TRGS 614</w:t>
            </w:r>
            <w:r w:rsidRPr="00011D99">
              <w:rPr>
                <w:rStyle w:val="Funotenzeichen"/>
                <w:rFonts w:ascii="Verdana" w:hAnsi="Verdana"/>
                <w:sz w:val="20"/>
                <w:szCs w:val="20"/>
              </w:rPr>
              <w:footnoteReference w:id="7"/>
            </w:r>
            <w:r>
              <w:rPr>
                <w:rFonts w:ascii="Verdana" w:hAnsi="Verdana"/>
                <w:sz w:val="20"/>
              </w:rPr>
              <w:t xml:space="preserve"> were added to the product as colourants,</w:t>
            </w:r>
          </w:p>
          <w:p w14:paraId="1137E2BF" w14:textId="77777777" w:rsidR="00CB3026" w:rsidRPr="00011D99" w:rsidRDefault="00CB3026"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no colourants (pigments or dyes) containing mercury, lead, cadmium or chromium (VI) compounds as constituent ingredients were added,</w:t>
            </w:r>
          </w:p>
        </w:tc>
      </w:tr>
      <w:tr w:rsidR="000938FF" w:rsidRPr="00090161" w14:paraId="374C33E5" w14:textId="77777777" w:rsidTr="00565983">
        <w:tc>
          <w:tcPr>
            <w:tcW w:w="988" w:type="dxa"/>
            <w:shd w:val="clear" w:color="auto" w:fill="auto"/>
          </w:tcPr>
          <w:p w14:paraId="025EB1B5" w14:textId="77777777" w:rsidR="000938FF" w:rsidRDefault="00926C8C" w:rsidP="00500850">
            <w:pPr>
              <w:pStyle w:val="Textkrper"/>
              <w:tabs>
                <w:tab w:val="left" w:pos="8222"/>
              </w:tabs>
              <w:spacing w:line="240" w:lineRule="auto"/>
              <w:jc w:val="left"/>
              <w:rPr>
                <w:rFonts w:ascii="Verdana" w:hAnsi="Verdana"/>
                <w:b/>
                <w:sz w:val="20"/>
                <w:szCs w:val="20"/>
              </w:rPr>
            </w:pPr>
            <w:r>
              <w:rPr>
                <w:rFonts w:ascii="Verdana" w:hAnsi="Verdana"/>
                <w:b/>
                <w:sz w:val="20"/>
              </w:rPr>
              <w:t>3.4.5</w:t>
            </w:r>
          </w:p>
        </w:tc>
        <w:tc>
          <w:tcPr>
            <w:tcW w:w="9432" w:type="dxa"/>
            <w:shd w:val="clear" w:color="auto" w:fill="auto"/>
          </w:tcPr>
          <w:p w14:paraId="05D42734" w14:textId="77777777" w:rsidR="000938FF" w:rsidRPr="00011D99" w:rsidRDefault="00926C8C"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no mineral oil-based </w:t>
            </w:r>
            <w:bookmarkStart w:id="4" w:name="_Hlk90467368"/>
            <w:r>
              <w:rPr>
                <w:rFonts w:ascii="Verdana" w:hAnsi="Verdana"/>
                <w:sz w:val="20"/>
              </w:rPr>
              <w:t>production aids</w:t>
            </w:r>
            <w:bookmarkEnd w:id="4"/>
            <w:r>
              <w:rPr>
                <w:rFonts w:ascii="Verdana" w:hAnsi="Verdana"/>
                <w:sz w:val="20"/>
              </w:rPr>
              <w:t xml:space="preserve"> that contain aromatic hydrocarbons (with ≥ 10 carbon atoms) as a component were added,</w:t>
            </w:r>
          </w:p>
          <w:p w14:paraId="36F09D15" w14:textId="77777777" w:rsidR="00926C8C" w:rsidRPr="00011D99" w:rsidRDefault="00926C8C"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in the case of aliphatic hydrocarbons, only those substances with a chain length of C10 to C20 were used,</w:t>
            </w:r>
          </w:p>
          <w:p w14:paraId="47C6F906" w14:textId="77777777" w:rsidR="00926C8C" w:rsidRPr="00011D99" w:rsidRDefault="00926C8C"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plant-based substitutes for mineral oil are free of genetic engineering and sourced from sustainable cultivation,</w:t>
            </w:r>
          </w:p>
        </w:tc>
      </w:tr>
      <w:tr w:rsidR="000938FF" w:rsidRPr="00090161" w14:paraId="269407B6" w14:textId="77777777" w:rsidTr="00565983">
        <w:tc>
          <w:tcPr>
            <w:tcW w:w="988" w:type="dxa"/>
            <w:shd w:val="clear" w:color="auto" w:fill="auto"/>
          </w:tcPr>
          <w:p w14:paraId="016FB46F" w14:textId="77777777" w:rsidR="000938FF" w:rsidRDefault="00926C8C" w:rsidP="00500850">
            <w:pPr>
              <w:pStyle w:val="Textkrper"/>
              <w:tabs>
                <w:tab w:val="left" w:pos="8222"/>
              </w:tabs>
              <w:spacing w:line="240" w:lineRule="auto"/>
              <w:jc w:val="left"/>
              <w:rPr>
                <w:rFonts w:ascii="Verdana" w:hAnsi="Verdana"/>
                <w:b/>
                <w:sz w:val="20"/>
                <w:szCs w:val="20"/>
              </w:rPr>
            </w:pPr>
            <w:r>
              <w:rPr>
                <w:rFonts w:ascii="Verdana" w:hAnsi="Verdana"/>
                <w:b/>
                <w:sz w:val="20"/>
              </w:rPr>
              <w:t>3.4.6</w:t>
            </w:r>
          </w:p>
        </w:tc>
        <w:tc>
          <w:tcPr>
            <w:tcW w:w="9432" w:type="dxa"/>
            <w:shd w:val="clear" w:color="auto" w:fill="auto"/>
          </w:tcPr>
          <w:p w14:paraId="3569AA71" w14:textId="77777777" w:rsidR="000938FF" w:rsidRPr="00011D99" w:rsidRDefault="00926C8C"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no mineral oil-based paper refining agents or mineral oil-based colourants were added,</w:t>
            </w:r>
          </w:p>
          <w:p w14:paraId="31BC79A9" w14:textId="77777777" w:rsidR="00926C8C" w:rsidRPr="00011D99" w:rsidRDefault="00926C8C"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plant-based substitutes for mineral oil are free of genetic engineering and sourced from sustainable cultivation,</w:t>
            </w:r>
          </w:p>
        </w:tc>
      </w:tr>
      <w:tr w:rsidR="00926C8C" w:rsidRPr="00090161" w14:paraId="49BDDEFE" w14:textId="77777777" w:rsidTr="00565983">
        <w:tc>
          <w:tcPr>
            <w:tcW w:w="988" w:type="dxa"/>
            <w:shd w:val="clear" w:color="auto" w:fill="auto"/>
          </w:tcPr>
          <w:p w14:paraId="17F89741" w14:textId="77777777" w:rsidR="00926C8C" w:rsidRDefault="00926C8C" w:rsidP="00500850">
            <w:pPr>
              <w:pStyle w:val="Textkrper"/>
              <w:tabs>
                <w:tab w:val="left" w:pos="8222"/>
              </w:tabs>
              <w:spacing w:line="240" w:lineRule="auto"/>
              <w:jc w:val="left"/>
              <w:rPr>
                <w:rFonts w:ascii="Verdana" w:hAnsi="Verdana"/>
                <w:b/>
                <w:sz w:val="20"/>
                <w:szCs w:val="20"/>
              </w:rPr>
            </w:pPr>
            <w:r>
              <w:rPr>
                <w:rFonts w:ascii="Verdana" w:hAnsi="Verdana"/>
                <w:b/>
                <w:sz w:val="20"/>
              </w:rPr>
              <w:t>3.4.7</w:t>
            </w:r>
          </w:p>
        </w:tc>
        <w:tc>
          <w:tcPr>
            <w:tcW w:w="9432" w:type="dxa"/>
            <w:shd w:val="clear" w:color="auto" w:fill="auto"/>
          </w:tcPr>
          <w:p w14:paraId="36CF4CB0" w14:textId="77777777" w:rsidR="00926C8C" w:rsidRPr="00011D99" w:rsidRDefault="00926C8C" w:rsidP="00926C8C">
            <w:pPr>
              <w:pStyle w:val="Textkrper"/>
              <w:tabs>
                <w:tab w:val="left" w:pos="8222"/>
              </w:tabs>
              <w:spacing w:line="240" w:lineRule="auto"/>
              <w:ind w:left="155" w:hanging="155"/>
              <w:jc w:val="left"/>
              <w:rPr>
                <w:rFonts w:ascii="Verdana" w:hAnsi="Verdana"/>
                <w:sz w:val="20"/>
                <w:szCs w:val="20"/>
              </w:rPr>
            </w:pPr>
            <w:r>
              <w:rPr>
                <w:rFonts w:ascii="Verdana" w:hAnsi="Verdana"/>
                <w:sz w:val="20"/>
              </w:rPr>
              <w:t>- alkylphenol ethoxylates (APEO) were not used in the cleaning of machines, sieves or other equipment parts, nor were they used in deinking chemical, antifoaming agents and dispersing agents,</w:t>
            </w:r>
          </w:p>
        </w:tc>
      </w:tr>
      <w:tr w:rsidR="003D666E" w:rsidRPr="00090161" w14:paraId="7D29757A" w14:textId="77777777" w:rsidTr="00565983">
        <w:tc>
          <w:tcPr>
            <w:tcW w:w="988" w:type="dxa"/>
            <w:shd w:val="clear" w:color="auto" w:fill="auto"/>
          </w:tcPr>
          <w:p w14:paraId="14209510" w14:textId="77777777" w:rsidR="003D666E"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rPr>
              <w:t>3.5</w:t>
            </w:r>
          </w:p>
        </w:tc>
        <w:tc>
          <w:tcPr>
            <w:tcW w:w="9432" w:type="dxa"/>
            <w:shd w:val="clear" w:color="auto" w:fill="auto"/>
          </w:tcPr>
          <w:p w14:paraId="410331AC" w14:textId="77777777" w:rsidR="00955804" w:rsidRDefault="00926C8C" w:rsidP="00926C8C">
            <w:r>
              <w:t>- in the production of the sanitary paper, only those slimicides (substances in product type 12) and material preservatives for fibres (substances in product type 9) in the sense of the Biocidal Products Regulation that have been approved in accordance with the Biocidal Products Regulation (EU) No. 528/2012 (EU list of approved active substances) or are still being examined as a notified existing active substance for the relevant type of biocides as part of the EU work programme for the systematic examination of all existing active substances were used,</w:t>
            </w:r>
          </w:p>
          <w:p w14:paraId="3295696E" w14:textId="77777777" w:rsidR="00926C8C" w:rsidRPr="00011D99" w:rsidRDefault="00955804" w:rsidP="00926C8C">
            <w:r>
              <w:t>- in addition, the biocidal products used in the product do not contain any substances that have been considered as candidates for substitution according to Article 10 of Regulation (EU) No. 528/2012,</w:t>
            </w:r>
          </w:p>
          <w:p w14:paraId="28FA618D" w14:textId="10591833" w:rsidR="00955804" w:rsidRDefault="00955804" w:rsidP="00926C8C">
            <w:r>
              <w:t xml:space="preserve">- accordingly, only those biocidal products classified in product types 9 and 12 that have been explicitly approved for the desired application were used. </w:t>
            </w:r>
            <w:r>
              <w:br/>
              <w:t xml:space="preserve">For a transitional period, biocidal products that contain notified existing active substances of product types 9 and 12 that are still being examined as part of the EU examination process can also be used without approval if they have been registered in accordance with the German ordinance on the notification of biocidal products pursuant to the German Chemicals Act (Biocide Notification Ordinance – ChemBiozidMeldeV). </w:t>
            </w:r>
          </w:p>
          <w:p w14:paraId="287D27BB" w14:textId="77777777" w:rsidR="00926C8C" w:rsidRPr="00011D99" w:rsidRDefault="00955804" w:rsidP="00926C8C">
            <w:r>
              <w:t>- until the approval requirements for the biocidal products containing notified existing active substances come into force, only those substances that are also listed in Recommendation XXXVI from the BfR were used,</w:t>
            </w:r>
          </w:p>
          <w:p w14:paraId="6469EBAD" w14:textId="77777777" w:rsidR="00926C8C" w:rsidRPr="00011D99" w:rsidRDefault="00955804" w:rsidP="00926C8C">
            <w:r>
              <w:t>- it is also possible that production aids and paper refining agents used for the production of the recycled paper contain biocidal products in product type 6 (protection of finished products in containers against microbial deterioration to ensure their shelf life (“in-can preservatives”)) that have been made available on the market. Residual content of these biocidal products will be accepted;</w:t>
            </w:r>
          </w:p>
          <w:p w14:paraId="4E833545" w14:textId="77777777" w:rsidR="005D42C2" w:rsidRDefault="005D42C2" w:rsidP="005D42C2">
            <w:pPr>
              <w:rPr>
                <w:rStyle w:val="StandardnurWort"/>
              </w:rPr>
            </w:pPr>
            <w:r>
              <w:rPr>
                <w:rStyle w:val="StandardnurWort"/>
              </w:rPr>
              <w:lastRenderedPageBreak/>
              <w:t xml:space="preserve">- however, the finished product must only contain very small quantities of the permitted biocidal substances; </w:t>
            </w:r>
          </w:p>
          <w:p w14:paraId="1A9F87B6" w14:textId="77777777" w:rsidR="00926C8C" w:rsidRPr="00011D99" w:rsidRDefault="005D42C2" w:rsidP="005D42C2">
            <w:pPr>
              <w:rPr>
                <w:rStyle w:val="StandardnurWort"/>
              </w:rPr>
            </w:pPr>
            <w:r>
              <w:rPr>
                <w:rStyle w:val="StandardnurWort"/>
              </w:rPr>
              <w:t>- accordingly, colourants, surface finishing agents, auxiliaries and coating materials that contain isothiazolinone were only used if it could be verified that the following quantities are not exceeded in total in the extracts from the finished products:</w:t>
            </w:r>
          </w:p>
          <w:p w14:paraId="75261D51" w14:textId="77777777" w:rsidR="00926C8C" w:rsidRPr="00011D99" w:rsidRDefault="00926C8C" w:rsidP="00926C8C">
            <w:pPr>
              <w:pStyle w:val="AufzhlungPunkt2"/>
            </w:pPr>
            <w:r>
              <w:t>Mixture of 5-chloro-2-methyl-4-isothiazolin-3-one, approx. 3 parts, and 2-Methyl-4-isothiazolin-3-one, approx. 1 part (</w:t>
            </w:r>
            <w:proofErr w:type="gramStart"/>
            <w:r>
              <w:t>CIT:MIT</w:t>
            </w:r>
            <w:proofErr w:type="gramEnd"/>
            <w:r>
              <w:t xml:space="preserve">): </w:t>
            </w:r>
            <w:r>
              <w:rPr>
                <w:rStyle w:val="StandardfettnurWort"/>
              </w:rPr>
              <w:t>25 μg/dm²</w:t>
            </w:r>
          </w:p>
          <w:p w14:paraId="523FA236" w14:textId="77777777" w:rsidR="00926C8C" w:rsidRPr="00011D99" w:rsidRDefault="00926C8C" w:rsidP="00926C8C">
            <w:pPr>
              <w:pStyle w:val="AufzhlungPunkt2"/>
              <w:rPr>
                <w:rStyle w:val="StandardfettnurWort"/>
                <w:b w:val="0"/>
              </w:rPr>
            </w:pPr>
            <w:r>
              <w:t xml:space="preserve">2-methyl-4-isothiazolin-3-one (MIT): </w:t>
            </w:r>
            <w:r>
              <w:rPr>
                <w:rStyle w:val="StandardfettnurWort"/>
              </w:rPr>
              <w:t>80 μg/dm²</w:t>
            </w:r>
          </w:p>
          <w:p w14:paraId="6E3EE022" w14:textId="77777777" w:rsidR="003D666E" w:rsidRPr="00011D99" w:rsidRDefault="003D666E" w:rsidP="005D42C2">
            <w:pPr>
              <w:pStyle w:val="Textkrper"/>
              <w:tabs>
                <w:tab w:val="left" w:pos="8222"/>
              </w:tabs>
              <w:spacing w:line="240" w:lineRule="auto"/>
              <w:jc w:val="left"/>
              <w:rPr>
                <w:rFonts w:ascii="Verdana" w:hAnsi="Verdana"/>
                <w:sz w:val="20"/>
                <w:szCs w:val="20"/>
              </w:rPr>
            </w:pPr>
          </w:p>
        </w:tc>
      </w:tr>
      <w:tr w:rsidR="003D666E" w:rsidRPr="00090161" w14:paraId="088C61B7" w14:textId="77777777" w:rsidTr="00565983">
        <w:tc>
          <w:tcPr>
            <w:tcW w:w="988" w:type="dxa"/>
            <w:shd w:val="clear" w:color="auto" w:fill="auto"/>
          </w:tcPr>
          <w:p w14:paraId="3A8CD6B6" w14:textId="77777777"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rPr>
              <w:lastRenderedPageBreak/>
              <w:t>3.6</w:t>
            </w:r>
          </w:p>
        </w:tc>
        <w:tc>
          <w:tcPr>
            <w:tcW w:w="9432" w:type="dxa"/>
            <w:shd w:val="clear" w:color="auto" w:fill="auto"/>
          </w:tcPr>
          <w:p w14:paraId="4815D4AA" w14:textId="77777777" w:rsidR="003D666E" w:rsidRPr="00011D99" w:rsidRDefault="003D666E" w:rsidP="00A16B4B">
            <w:pPr>
              <w:pStyle w:val="Textkrper"/>
              <w:tabs>
                <w:tab w:val="left" w:pos="8222"/>
              </w:tabs>
              <w:spacing w:line="240" w:lineRule="auto"/>
              <w:ind w:left="155" w:hanging="155"/>
              <w:jc w:val="left"/>
              <w:rPr>
                <w:rFonts w:ascii="Verdana" w:hAnsi="Verdana"/>
                <w:sz w:val="20"/>
                <w:szCs w:val="20"/>
              </w:rPr>
            </w:pPr>
            <w:r>
              <w:rPr>
                <w:rFonts w:ascii="Verdana" w:hAnsi="Verdana"/>
                <w:sz w:val="20"/>
              </w:rPr>
              <w:t>- lotions, fragrances, bacterial suspensions and antibacterial enhancements were not added in the production of the sanitary paper,</w:t>
            </w:r>
          </w:p>
        </w:tc>
      </w:tr>
      <w:tr w:rsidR="003D666E" w:rsidRPr="00090161" w14:paraId="41B3C4F6" w14:textId="77777777" w:rsidTr="00565983">
        <w:tc>
          <w:tcPr>
            <w:tcW w:w="988" w:type="dxa"/>
            <w:shd w:val="clear" w:color="auto" w:fill="auto"/>
          </w:tcPr>
          <w:p w14:paraId="0C8D68CC" w14:textId="77777777"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rPr>
              <w:t>3.7.1</w:t>
            </w:r>
          </w:p>
        </w:tc>
        <w:tc>
          <w:tcPr>
            <w:tcW w:w="9432" w:type="dxa"/>
            <w:shd w:val="clear" w:color="auto" w:fill="auto"/>
          </w:tcPr>
          <w:p w14:paraId="27FA203E" w14:textId="77777777" w:rsidR="003D666E" w:rsidRPr="00011D99" w:rsidRDefault="003D666E"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the sanitary paper does not exceed a maximum grade of whiteness of 80% (including the UV proportion) according to ISO 2470 or a maximum CIE whiteness of 100 according to DIN ISO 11475, </w:t>
            </w:r>
          </w:p>
        </w:tc>
      </w:tr>
      <w:tr w:rsidR="003D666E" w:rsidRPr="00090161" w14:paraId="5F223B09" w14:textId="77777777" w:rsidTr="00565983">
        <w:tc>
          <w:tcPr>
            <w:tcW w:w="988" w:type="dxa"/>
            <w:shd w:val="clear" w:color="auto" w:fill="auto"/>
          </w:tcPr>
          <w:p w14:paraId="2897F46D" w14:textId="77777777"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rPr>
              <w:t>3.7.2</w:t>
            </w:r>
          </w:p>
        </w:tc>
        <w:tc>
          <w:tcPr>
            <w:tcW w:w="9432" w:type="dxa"/>
            <w:shd w:val="clear" w:color="auto" w:fill="auto"/>
          </w:tcPr>
          <w:p w14:paraId="6888B204" w14:textId="77777777" w:rsidR="003D666E" w:rsidRPr="00011D99" w:rsidRDefault="003D666E" w:rsidP="00E13250">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w:t>
            </w:r>
            <w:bookmarkStart w:id="5" w:name="_Hlk81561672"/>
            <w:r>
              <w:rPr>
                <w:rFonts w:ascii="Verdana" w:hAnsi="Verdana"/>
                <w:sz w:val="20"/>
              </w:rPr>
              <w:t xml:space="preserve">the concentration of chloropropanols in the water extract </w:t>
            </w:r>
            <w:bookmarkEnd w:id="5"/>
            <w:r>
              <w:rPr>
                <w:rFonts w:ascii="Verdana" w:hAnsi="Verdana"/>
                <w:sz w:val="20"/>
              </w:rPr>
              <w:t>from the sanitary paper that was produced according to the type of product did not exceed the limits specified in Recommendation XXXVI from the BfR,</w:t>
            </w:r>
          </w:p>
        </w:tc>
      </w:tr>
      <w:tr w:rsidR="00D167EB" w:rsidRPr="00090161" w14:paraId="2345636C" w14:textId="77777777" w:rsidTr="00565983">
        <w:tc>
          <w:tcPr>
            <w:tcW w:w="988" w:type="dxa"/>
            <w:shd w:val="clear" w:color="auto" w:fill="auto"/>
          </w:tcPr>
          <w:p w14:paraId="3F3FC493" w14:textId="77777777" w:rsidR="00D167EB" w:rsidRPr="00090161" w:rsidRDefault="00D167EB" w:rsidP="00500850">
            <w:pPr>
              <w:pStyle w:val="Textkrper"/>
              <w:tabs>
                <w:tab w:val="left" w:pos="8222"/>
              </w:tabs>
              <w:spacing w:line="240" w:lineRule="auto"/>
              <w:jc w:val="left"/>
              <w:rPr>
                <w:rFonts w:ascii="Verdana" w:hAnsi="Verdana"/>
                <w:b/>
                <w:sz w:val="20"/>
                <w:szCs w:val="20"/>
              </w:rPr>
            </w:pPr>
            <w:r>
              <w:rPr>
                <w:rFonts w:ascii="Verdana" w:hAnsi="Verdana"/>
                <w:b/>
                <w:sz w:val="20"/>
              </w:rPr>
              <w:t>3.7.3</w:t>
            </w:r>
          </w:p>
        </w:tc>
        <w:tc>
          <w:tcPr>
            <w:tcW w:w="9432" w:type="dxa"/>
            <w:shd w:val="clear" w:color="auto" w:fill="auto"/>
          </w:tcPr>
          <w:p w14:paraId="0C65225B" w14:textId="77777777" w:rsidR="00D167EB" w:rsidRPr="00011D99" w:rsidRDefault="00D167EB" w:rsidP="00565983">
            <w:pPr>
              <w:pStyle w:val="Textkrper"/>
              <w:numPr>
                <w:ilvl w:val="0"/>
                <w:numId w:val="4"/>
              </w:numPr>
              <w:tabs>
                <w:tab w:val="left" w:pos="8222"/>
              </w:tabs>
              <w:spacing w:line="240" w:lineRule="auto"/>
              <w:ind w:left="217" w:hanging="141"/>
              <w:jc w:val="left"/>
              <w:rPr>
                <w:rFonts w:ascii="Verdana" w:hAnsi="Verdana"/>
                <w:sz w:val="20"/>
                <w:szCs w:val="20"/>
              </w:rPr>
            </w:pPr>
            <w:r>
              <w:rPr>
                <w:rFonts w:ascii="Verdana" w:hAnsi="Verdana"/>
                <w:sz w:val="20"/>
              </w:rPr>
              <w:t>when the colourants used for all coloured or printed products were tested for their bleeding resistance according to DIN 646 (colour fastness of dyed paper and board), they achieved at least level 4 on the grey scale;</w:t>
            </w:r>
          </w:p>
          <w:p w14:paraId="1EE3C691" w14:textId="77777777" w:rsidR="00D167EB" w:rsidRPr="00011D99" w:rsidRDefault="00D167EB" w:rsidP="00565983">
            <w:pPr>
              <w:pStyle w:val="Textkrper"/>
              <w:numPr>
                <w:ilvl w:val="0"/>
                <w:numId w:val="4"/>
              </w:numPr>
              <w:tabs>
                <w:tab w:val="left" w:pos="8222"/>
              </w:tabs>
              <w:spacing w:line="240" w:lineRule="auto"/>
              <w:ind w:left="217" w:hanging="141"/>
              <w:jc w:val="left"/>
              <w:rPr>
                <w:rFonts w:ascii="Verdana" w:hAnsi="Verdana"/>
                <w:sz w:val="20"/>
                <w:szCs w:val="20"/>
              </w:rPr>
            </w:pPr>
            <w:r>
              <w:rPr>
                <w:rFonts w:ascii="Verdana" w:hAnsi="Verdana"/>
                <w:sz w:val="20"/>
              </w:rPr>
              <w:t>Serviettes, kitchen towels and paper designed for contact with food achieved level 5 on the grey scale,</w:t>
            </w:r>
          </w:p>
        </w:tc>
      </w:tr>
      <w:tr w:rsidR="00D167EB" w:rsidRPr="00090161" w14:paraId="1759D655" w14:textId="77777777" w:rsidTr="00565983">
        <w:tc>
          <w:tcPr>
            <w:tcW w:w="988" w:type="dxa"/>
            <w:shd w:val="clear" w:color="auto" w:fill="auto"/>
          </w:tcPr>
          <w:p w14:paraId="3803E94C" w14:textId="77777777" w:rsidR="00D167EB" w:rsidRPr="00090161" w:rsidRDefault="00D167EB" w:rsidP="00500850">
            <w:pPr>
              <w:pStyle w:val="Textkrper"/>
              <w:tabs>
                <w:tab w:val="left" w:pos="8222"/>
              </w:tabs>
              <w:spacing w:line="240" w:lineRule="auto"/>
              <w:jc w:val="left"/>
              <w:rPr>
                <w:rFonts w:ascii="Verdana" w:hAnsi="Verdana"/>
                <w:b/>
                <w:sz w:val="20"/>
                <w:szCs w:val="20"/>
              </w:rPr>
            </w:pPr>
            <w:r>
              <w:rPr>
                <w:rFonts w:ascii="Verdana" w:hAnsi="Verdana"/>
                <w:b/>
                <w:sz w:val="20"/>
              </w:rPr>
              <w:t>3.7.4</w:t>
            </w:r>
          </w:p>
        </w:tc>
        <w:tc>
          <w:tcPr>
            <w:tcW w:w="9432" w:type="dxa"/>
            <w:shd w:val="clear" w:color="auto" w:fill="auto"/>
          </w:tcPr>
          <w:p w14:paraId="0919D1E5" w14:textId="77777777" w:rsidR="00D167EB" w:rsidRPr="00011D99" w:rsidRDefault="00D167EB"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a test of the bleeding of optical brighteners was carried out for kitchen towels, serviettes and paper designed for contact with food,</w:t>
            </w:r>
          </w:p>
          <w:p w14:paraId="3E95E408" w14:textId="77777777" w:rsidR="00D167EB" w:rsidRPr="00011D99" w:rsidRDefault="00D167EB"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level 5 should be achieved in the test carried out in accordance with DIN 648 (colour fastness of dyed paper and board),</w:t>
            </w:r>
          </w:p>
        </w:tc>
      </w:tr>
      <w:tr w:rsidR="003D666E" w:rsidRPr="00090161" w14:paraId="20327316" w14:textId="77777777" w:rsidTr="00565983">
        <w:tc>
          <w:tcPr>
            <w:tcW w:w="988" w:type="dxa"/>
            <w:shd w:val="clear" w:color="auto" w:fill="auto"/>
          </w:tcPr>
          <w:p w14:paraId="6C804308" w14:textId="77777777"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rPr>
              <w:t>3.8</w:t>
            </w:r>
          </w:p>
        </w:tc>
        <w:tc>
          <w:tcPr>
            <w:tcW w:w="9432" w:type="dxa"/>
            <w:shd w:val="clear" w:color="auto" w:fill="auto"/>
          </w:tcPr>
          <w:p w14:paraId="0F98870A" w14:textId="77777777" w:rsidR="003D666E" w:rsidRPr="00011D99" w:rsidRDefault="003D666E" w:rsidP="00500850">
            <w:r>
              <w:t>- the products are suitable for their intended use,</w:t>
            </w:r>
          </w:p>
          <w:p w14:paraId="69814B4B" w14:textId="77777777" w:rsidR="003D666E" w:rsidRPr="00011D99" w:rsidRDefault="003D666E" w:rsidP="00500850">
            <w:pPr>
              <w:pStyle w:val="Textkrper"/>
              <w:tabs>
                <w:tab w:val="left" w:pos="8222"/>
              </w:tabs>
              <w:spacing w:line="240" w:lineRule="auto"/>
              <w:ind w:left="155" w:hanging="155"/>
              <w:jc w:val="left"/>
              <w:rPr>
                <w:rFonts w:ascii="Verdana" w:hAnsi="Verdana"/>
                <w:sz w:val="20"/>
                <w:szCs w:val="20"/>
              </w:rPr>
            </w:pPr>
          </w:p>
        </w:tc>
      </w:tr>
      <w:tr w:rsidR="003D666E" w:rsidRPr="00011D99" w14:paraId="1B496D94" w14:textId="77777777" w:rsidTr="00565983">
        <w:tc>
          <w:tcPr>
            <w:tcW w:w="988" w:type="dxa"/>
            <w:shd w:val="clear" w:color="auto" w:fill="auto"/>
          </w:tcPr>
          <w:p w14:paraId="4A75C99D" w14:textId="77777777"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rPr>
              <w:t>3.9</w:t>
            </w:r>
          </w:p>
        </w:tc>
        <w:tc>
          <w:tcPr>
            <w:tcW w:w="9432" w:type="dxa"/>
            <w:shd w:val="clear" w:color="auto" w:fill="auto"/>
          </w:tcPr>
          <w:p w14:paraId="23C475D6" w14:textId="77777777" w:rsidR="00A50563" w:rsidRDefault="003D666E"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no composite packaging or coatings of the paper/cardboard with plastics or metals were used,</w:t>
            </w:r>
            <w:r>
              <w:t xml:space="preserve"> </w:t>
            </w:r>
          </w:p>
          <w:p w14:paraId="42E95880" w14:textId="77777777" w:rsidR="003D666E" w:rsidRPr="00011D99" w:rsidRDefault="00A50563"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sales packaging made out of paper and cardboard was produced using at least 95 % recovered paper/recycled paper (percentage by mass), </w:t>
            </w:r>
          </w:p>
          <w:p w14:paraId="0CF50477" w14:textId="6D346FB9" w:rsidR="00D167EB" w:rsidRPr="00011D99" w:rsidRDefault="00D167EB"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w:t>
            </w:r>
            <w:r w:rsidR="00EF7D40">
              <w:rPr>
                <w:rFonts w:ascii="Verdana" w:hAnsi="Verdana"/>
                <w:sz w:val="20"/>
              </w:rPr>
              <w:t>re</w:t>
            </w:r>
            <w:r>
              <w:rPr>
                <w:rFonts w:ascii="Verdana" w:hAnsi="Verdana"/>
                <w:sz w:val="20"/>
              </w:rPr>
              <w:t>packaging made out of paper and cardboard was produced using at least 95 % recovered paper/recycled paper (percentage by mass),</w:t>
            </w:r>
          </w:p>
          <w:p w14:paraId="2EB8F42A" w14:textId="77777777" w:rsidR="007A14B0" w:rsidRPr="00011D99" w:rsidRDefault="007A14B0"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the approved proportion of virgin fibres was NOT sourced from </w:t>
            </w:r>
            <w:bookmarkStart w:id="6" w:name="_Hlk79067629"/>
            <w:r>
              <w:rPr>
                <w:rFonts w:ascii="Verdana" w:hAnsi="Verdana"/>
                <w:sz w:val="20"/>
              </w:rPr>
              <w:t>forests that are particularly worthy of protection e.g. tropical or boreal forests</w:t>
            </w:r>
            <w:bookmarkEnd w:id="6"/>
            <w:r>
              <w:rPr>
                <w:rFonts w:ascii="Verdana" w:hAnsi="Verdana"/>
                <w:sz w:val="20"/>
              </w:rPr>
              <w:t>,</w:t>
            </w:r>
          </w:p>
          <w:p w14:paraId="087BCC2C" w14:textId="77777777" w:rsidR="00011D99" w:rsidRPr="00011D99" w:rsidRDefault="00011D99"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a FSC/PEFC certificate has been submitted for the virgin fibres added to the product,</w:t>
            </w:r>
          </w:p>
          <w:p w14:paraId="10547074" w14:textId="77777777" w:rsidR="000624E3" w:rsidRPr="00011D99" w:rsidRDefault="003D666E" w:rsidP="000624E3">
            <w:pPr>
              <w:pStyle w:val="Textkrper"/>
              <w:tabs>
                <w:tab w:val="left" w:pos="8222"/>
              </w:tabs>
              <w:spacing w:line="240" w:lineRule="auto"/>
              <w:ind w:left="155" w:hanging="155"/>
              <w:jc w:val="left"/>
              <w:rPr>
                <w:rStyle w:val="StandardnurWort"/>
                <w:rFonts w:ascii="Verdana" w:hAnsi="Verdana"/>
                <w:sz w:val="20"/>
                <w:szCs w:val="20"/>
              </w:rPr>
            </w:pPr>
            <w:r>
              <w:rPr>
                <w:rFonts w:ascii="Verdana" w:hAnsi="Verdana"/>
                <w:sz w:val="20"/>
              </w:rPr>
              <w:t>- o</w:t>
            </w:r>
            <w:r>
              <w:rPr>
                <w:rStyle w:val="StandardnurWort"/>
                <w:rFonts w:ascii="Verdana" w:hAnsi="Verdana"/>
                <w:sz w:val="20"/>
              </w:rPr>
              <w:t xml:space="preserve">nly unmixed plastic without any coating was used for plastic packaging in the sales packaging, </w:t>
            </w:r>
          </w:p>
          <w:p w14:paraId="126ADC06" w14:textId="77777777" w:rsidR="000624E3" w:rsidRPr="00011D99" w:rsidRDefault="000624E3" w:rsidP="000624E3">
            <w:pPr>
              <w:pStyle w:val="Textkrper"/>
              <w:tabs>
                <w:tab w:val="left" w:pos="8222"/>
              </w:tabs>
              <w:spacing w:line="240" w:lineRule="auto"/>
              <w:ind w:left="155" w:hanging="155"/>
              <w:jc w:val="left"/>
              <w:rPr>
                <w:rStyle w:val="StandardnurWort"/>
                <w:rFonts w:ascii="Verdana" w:hAnsi="Verdana"/>
                <w:sz w:val="20"/>
                <w:szCs w:val="20"/>
              </w:rPr>
            </w:pPr>
            <w:r>
              <w:rPr>
                <w:rFonts w:ascii="Verdana" w:hAnsi="Verdana"/>
                <w:sz w:val="20"/>
              </w:rPr>
              <w:t xml:space="preserve">- </w:t>
            </w:r>
            <w:r>
              <w:rPr>
                <w:rStyle w:val="StandardnurWort"/>
                <w:rFonts w:ascii="Verdana" w:hAnsi="Verdana"/>
                <w:sz w:val="20"/>
              </w:rPr>
              <w:t>plastics containing PVC were not used,</w:t>
            </w:r>
          </w:p>
          <w:p w14:paraId="28878967" w14:textId="77777777" w:rsidR="000624E3" w:rsidRPr="00011D99" w:rsidRDefault="000624E3" w:rsidP="000624E3">
            <w:pPr>
              <w:pStyle w:val="Textkrper"/>
              <w:tabs>
                <w:tab w:val="left" w:pos="8222"/>
              </w:tabs>
              <w:spacing w:line="240" w:lineRule="auto"/>
              <w:ind w:left="155" w:hanging="155"/>
              <w:jc w:val="left"/>
              <w:rPr>
                <w:rStyle w:val="StandardnurWort"/>
                <w:rFonts w:ascii="Verdana" w:hAnsi="Verdana"/>
                <w:sz w:val="20"/>
                <w:szCs w:val="20"/>
              </w:rPr>
            </w:pPr>
            <w:r>
              <w:rPr>
                <w:rFonts w:ascii="Verdana" w:hAnsi="Verdana"/>
                <w:sz w:val="20"/>
              </w:rPr>
              <w:t xml:space="preserve">- the </w:t>
            </w:r>
            <w:r>
              <w:rPr>
                <w:rStyle w:val="StandardnurWort"/>
                <w:rFonts w:ascii="Verdana" w:hAnsi="Verdana"/>
                <w:sz w:val="20"/>
              </w:rPr>
              <w:t>use of post-consumer recycled waste is promoted,</w:t>
            </w:r>
          </w:p>
          <w:p w14:paraId="72AF093C" w14:textId="77777777" w:rsidR="000624E3" w:rsidRDefault="000F3F7C" w:rsidP="000624E3">
            <w:pPr>
              <w:pStyle w:val="Textkrper"/>
              <w:tabs>
                <w:tab w:val="left" w:pos="8222"/>
              </w:tabs>
              <w:spacing w:line="240" w:lineRule="auto"/>
              <w:ind w:left="155" w:hanging="155"/>
              <w:jc w:val="left"/>
              <w:rPr>
                <w:rFonts w:ascii="Verdana" w:hAnsi="Verdana"/>
                <w:sz w:val="20"/>
                <w:szCs w:val="20"/>
              </w:rPr>
            </w:pPr>
            <w:r>
              <w:rPr>
                <w:rFonts w:ascii="Verdana" w:hAnsi="Verdana"/>
                <w:sz w:val="20"/>
              </w:rPr>
              <w:t>- if bioplastics from renewable raw materials were used, they were sourced from sustainable cultivation on cultivation areas that can verify that they are managed in an ecological and socially responsible manner,</w:t>
            </w:r>
          </w:p>
          <w:p w14:paraId="40023450" w14:textId="77777777" w:rsidR="00E13250" w:rsidRDefault="00E13250" w:rsidP="000624E3">
            <w:pPr>
              <w:pStyle w:val="Textkrper"/>
              <w:tabs>
                <w:tab w:val="left" w:pos="8222"/>
              </w:tabs>
              <w:spacing w:line="240" w:lineRule="auto"/>
              <w:ind w:left="155" w:hanging="155"/>
              <w:jc w:val="left"/>
              <w:rPr>
                <w:rFonts w:ascii="Verdana" w:hAnsi="Verdana"/>
                <w:sz w:val="20"/>
                <w:szCs w:val="20"/>
              </w:rPr>
            </w:pPr>
            <w:r>
              <w:rPr>
                <w:rFonts w:ascii="Verdana" w:hAnsi="Verdana"/>
                <w:sz w:val="20"/>
              </w:rPr>
              <w:t>- purchased certificates based on the Book &amp; Claim system were not used,</w:t>
            </w:r>
          </w:p>
          <w:p w14:paraId="522BF52C" w14:textId="029E62AB" w:rsidR="00E13250" w:rsidRPr="00E13250" w:rsidRDefault="00E13250" w:rsidP="000112AE">
            <w:pPr>
              <w:ind w:left="217" w:hanging="217"/>
            </w:pPr>
            <w:r>
              <w:t xml:space="preserve">- certifications from the Rainforest Alliance (SAN), Bonsucro </w:t>
            </w:r>
            <w:r w:rsidR="000112AE">
              <w:t>and</w:t>
            </w:r>
            <w:r w:rsidR="00FD0821">
              <w:t xml:space="preserve"> REDcert EU were not used,</w:t>
            </w:r>
          </w:p>
          <w:p w14:paraId="7B698CBF" w14:textId="77777777" w:rsidR="003D666E" w:rsidRPr="00011D99" w:rsidRDefault="005568DF" w:rsidP="005D42C2">
            <w:pPr>
              <w:pStyle w:val="Textkrper"/>
              <w:tabs>
                <w:tab w:val="left" w:pos="8222"/>
              </w:tabs>
              <w:spacing w:line="240" w:lineRule="auto"/>
              <w:ind w:left="155" w:hanging="155"/>
              <w:jc w:val="left"/>
              <w:rPr>
                <w:rFonts w:ascii="Verdana" w:hAnsi="Verdana"/>
                <w:sz w:val="20"/>
                <w:szCs w:val="20"/>
              </w:rPr>
            </w:pPr>
            <w:r>
              <w:rPr>
                <w:rFonts w:ascii="Verdana" w:hAnsi="Verdana"/>
                <w:sz w:val="20"/>
              </w:rPr>
              <w:t>- the content of the sales packaging that is available for recycling is greater than 95 % (The recyclability of the packaging must be determined in accordance with the currently valid version</w:t>
            </w:r>
            <w:r w:rsidRPr="00011D99">
              <w:rPr>
                <w:rStyle w:val="Funotenzeichen"/>
                <w:rFonts w:ascii="Verdana" w:hAnsi="Verdana"/>
                <w:sz w:val="20"/>
                <w:szCs w:val="20"/>
              </w:rPr>
              <w:footnoteReference w:id="8"/>
            </w:r>
            <w:r>
              <w:rPr>
                <w:rFonts w:ascii="Verdana" w:hAnsi="Verdana"/>
                <w:sz w:val="20"/>
              </w:rPr>
              <w:t xml:space="preserve"> of the “Minimum standard for determining the recyclability of packaging subject to system participation” from the Zentrale Stelle Verpackungsregister (Central Agency Packaging Register – ZSVR)),</w:t>
            </w:r>
          </w:p>
        </w:tc>
      </w:tr>
      <w:tr w:rsidR="003D666E" w:rsidRPr="00090161" w14:paraId="33A13BEE" w14:textId="77777777" w:rsidTr="00565983">
        <w:tc>
          <w:tcPr>
            <w:tcW w:w="988" w:type="dxa"/>
            <w:shd w:val="clear" w:color="auto" w:fill="auto"/>
          </w:tcPr>
          <w:p w14:paraId="6AFD99B5" w14:textId="77777777"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rPr>
              <w:lastRenderedPageBreak/>
              <w:t>3. 10</w:t>
            </w:r>
          </w:p>
        </w:tc>
        <w:tc>
          <w:tcPr>
            <w:tcW w:w="9432" w:type="dxa"/>
            <w:shd w:val="clear" w:color="auto" w:fill="auto"/>
          </w:tcPr>
          <w:p w14:paraId="1DFEB7E1" w14:textId="77777777" w:rsidR="00420B56" w:rsidRDefault="003D666E" w:rsidP="00434333">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as a </w:t>
            </w:r>
            <w:r>
              <w:rPr>
                <w:rFonts w:ascii="Verdana" w:hAnsi="Verdana"/>
                <w:b/>
                <w:sz w:val="20"/>
              </w:rPr>
              <w:t>direct discharger</w:t>
            </w:r>
            <w:r>
              <w:rPr>
                <w:rFonts w:ascii="Verdana" w:hAnsi="Verdana"/>
                <w:sz w:val="20"/>
              </w:rPr>
              <w:t>, we have complied with the emission limits according to Table 3-2,</w:t>
            </w:r>
          </w:p>
          <w:p w14:paraId="68A23813" w14:textId="77777777" w:rsidR="00420B56" w:rsidRPr="00011D99" w:rsidRDefault="00420B56" w:rsidP="00420B56">
            <w:pPr>
              <w:pStyle w:val="Standardklein"/>
              <w:rPr>
                <w:sz w:val="20"/>
                <w:szCs w:val="20"/>
              </w:rPr>
            </w:pPr>
            <w:r>
              <w:t>Table 3-</w:t>
            </w:r>
            <w:fldSimple w:instr=" SEQ Tabelle \* ARABIC ">
              <w:r w:rsidR="00CD03BA">
                <w:rPr>
                  <w:noProof/>
                </w:rPr>
                <w:t>2</w:t>
              </w:r>
            </w:fldSimple>
            <w:r>
              <w:t>: Maximum limits for the average annual emission parameters (waste water) in the paper production process</w:t>
            </w:r>
          </w:p>
          <w:tbl>
            <w:tblPr>
              <w:tblStyle w:val="TabellefrVergabegrundlageKopfzeilegrau"/>
              <w:tblW w:w="0" w:type="auto"/>
              <w:tblLook w:val="04A0" w:firstRow="1" w:lastRow="0" w:firstColumn="1" w:lastColumn="0" w:noHBand="0" w:noVBand="1"/>
            </w:tblPr>
            <w:tblGrid>
              <w:gridCol w:w="2961"/>
              <w:gridCol w:w="2927"/>
              <w:gridCol w:w="2928"/>
            </w:tblGrid>
            <w:tr w:rsidR="00420B56" w14:paraId="06B978F8" w14:textId="77777777" w:rsidTr="0061014A">
              <w:trPr>
                <w:cnfStyle w:val="100000000000" w:firstRow="1" w:lastRow="0" w:firstColumn="0" w:lastColumn="0" w:oddVBand="0" w:evenVBand="0" w:oddHBand="0" w:evenHBand="0" w:firstRowFirstColumn="0" w:firstRowLastColumn="0" w:lastRowFirstColumn="0" w:lastRowLastColumn="0"/>
              </w:trPr>
              <w:tc>
                <w:tcPr>
                  <w:tcW w:w="3209" w:type="dxa"/>
                </w:tcPr>
                <w:p w14:paraId="324E0D84" w14:textId="77777777" w:rsidR="00420B56" w:rsidRDefault="00420B56" w:rsidP="00420B56">
                  <w:pPr>
                    <w:pStyle w:val="Tabellentextfettkleinlinksbndig"/>
                  </w:pPr>
                  <w:r>
                    <w:t>Parameter</w:t>
                  </w:r>
                </w:p>
              </w:tc>
              <w:tc>
                <w:tcPr>
                  <w:tcW w:w="6419" w:type="dxa"/>
                  <w:gridSpan w:val="2"/>
                </w:tcPr>
                <w:p w14:paraId="776947E8" w14:textId="77777777" w:rsidR="00420B56" w:rsidRPr="00406B3F" w:rsidRDefault="00420B56" w:rsidP="00420B56">
                  <w:pPr>
                    <w:pStyle w:val="Tabellentextfettkleinlinksbndig"/>
                  </w:pPr>
                  <w:r>
                    <w:t xml:space="preserve">Maximum limit for waste water emissions </w:t>
                  </w:r>
                </w:p>
                <w:p w14:paraId="1CF89003" w14:textId="77777777" w:rsidR="00420B56" w:rsidRDefault="00420B56" w:rsidP="00420B56">
                  <w:pPr>
                    <w:pStyle w:val="Tabellentextfettkleinlinksbndig"/>
                  </w:pPr>
                  <w:r>
                    <w:t>(average annual value as a load or concentration)</w:t>
                  </w:r>
                </w:p>
              </w:tc>
            </w:tr>
            <w:tr w:rsidR="00420B56" w14:paraId="432D5DE2" w14:textId="77777777" w:rsidTr="0061014A">
              <w:tc>
                <w:tcPr>
                  <w:tcW w:w="3209" w:type="dxa"/>
                </w:tcPr>
                <w:p w14:paraId="14626636" w14:textId="77777777" w:rsidR="00420B56" w:rsidRDefault="00420B56" w:rsidP="00420B56">
                  <w:pPr>
                    <w:pStyle w:val="Tabellentextstandardkleinlinksbndig"/>
                  </w:pPr>
                </w:p>
              </w:tc>
              <w:tc>
                <w:tcPr>
                  <w:tcW w:w="3209" w:type="dxa"/>
                </w:tcPr>
                <w:p w14:paraId="1DF7EE3A" w14:textId="77777777" w:rsidR="00420B56" w:rsidRPr="00406B3F" w:rsidRDefault="00420B56" w:rsidP="00420B56">
                  <w:pPr>
                    <w:pStyle w:val="Tabellentextstandardkleinlinksbndig"/>
                  </w:pPr>
                  <w:r>
                    <w:t>Paper factory with deinking</w:t>
                  </w:r>
                </w:p>
              </w:tc>
              <w:tc>
                <w:tcPr>
                  <w:tcW w:w="3210" w:type="dxa"/>
                </w:tcPr>
                <w:p w14:paraId="4B7ADAEC" w14:textId="77777777" w:rsidR="00420B56" w:rsidRPr="00406B3F" w:rsidRDefault="00420B56" w:rsidP="00420B56">
                  <w:pPr>
                    <w:pStyle w:val="Tabellentextstandardkleinlinksbndig"/>
                  </w:pPr>
                  <w:r>
                    <w:t>Paper factory without deinking</w:t>
                  </w:r>
                </w:p>
              </w:tc>
            </w:tr>
            <w:tr w:rsidR="00420B56" w14:paraId="77BE6725" w14:textId="77777777" w:rsidTr="0061014A">
              <w:tc>
                <w:tcPr>
                  <w:tcW w:w="3209" w:type="dxa"/>
                </w:tcPr>
                <w:p w14:paraId="3E779240" w14:textId="77777777" w:rsidR="00420B56" w:rsidRPr="00406B3F" w:rsidRDefault="00420B56" w:rsidP="00420B56">
                  <w:pPr>
                    <w:pStyle w:val="Tabellentextstandardkleinlinksbndig"/>
                  </w:pPr>
                  <w:r>
                    <w:t>Volumetric flow rate of waste water</w:t>
                  </w:r>
                </w:p>
              </w:tc>
              <w:tc>
                <w:tcPr>
                  <w:tcW w:w="3209" w:type="dxa"/>
                </w:tcPr>
                <w:p w14:paraId="0C32715A" w14:textId="77777777" w:rsidR="00420B56" w:rsidRPr="00406B3F" w:rsidRDefault="00420B56" w:rsidP="00420B56">
                  <w:pPr>
                    <w:pStyle w:val="Tabellentextstandardkleinlinksbndig"/>
                  </w:pPr>
                  <w:r>
                    <w:t>&lt;25 m³/Adt</w:t>
                  </w:r>
                </w:p>
              </w:tc>
              <w:tc>
                <w:tcPr>
                  <w:tcW w:w="3210" w:type="dxa"/>
                </w:tcPr>
                <w:p w14:paraId="063343D8" w14:textId="77777777" w:rsidR="00420B56" w:rsidRPr="00406B3F" w:rsidRDefault="00420B56" w:rsidP="00420B56">
                  <w:pPr>
                    <w:pStyle w:val="Tabellentextstandardkleinlinksbndig"/>
                  </w:pPr>
                  <w:r>
                    <w:t xml:space="preserve">&lt;10 m³/Adt </w:t>
                  </w:r>
                </w:p>
              </w:tc>
            </w:tr>
            <w:tr w:rsidR="00420B56" w14:paraId="03B9FD33" w14:textId="77777777" w:rsidTr="0061014A">
              <w:tc>
                <w:tcPr>
                  <w:tcW w:w="3209" w:type="dxa"/>
                </w:tcPr>
                <w:p w14:paraId="5E87E0B0" w14:textId="77777777" w:rsidR="00420B56" w:rsidRPr="00406B3F" w:rsidRDefault="00420B56" w:rsidP="00420B56">
                  <w:pPr>
                    <w:pStyle w:val="Tabellentextstandardkleinlinksbndig"/>
                  </w:pPr>
                  <w:r>
                    <w:t>COD</w:t>
                  </w:r>
                </w:p>
              </w:tc>
              <w:tc>
                <w:tcPr>
                  <w:tcW w:w="3209" w:type="dxa"/>
                </w:tcPr>
                <w:p w14:paraId="1DC3AFA8" w14:textId="77777777" w:rsidR="00420B56" w:rsidRPr="00406B3F" w:rsidRDefault="00420B56" w:rsidP="00420B56">
                  <w:pPr>
                    <w:pStyle w:val="Tabellentextstandardkleinlinksbndig"/>
                  </w:pPr>
                  <w:r>
                    <w:t>&lt; 3 kg/Adt</w:t>
                  </w:r>
                </w:p>
              </w:tc>
              <w:tc>
                <w:tcPr>
                  <w:tcW w:w="3210" w:type="dxa"/>
                </w:tcPr>
                <w:p w14:paraId="77369333" w14:textId="77777777" w:rsidR="00420B56" w:rsidRPr="00406B3F" w:rsidRDefault="00420B56" w:rsidP="00420B56">
                  <w:pPr>
                    <w:pStyle w:val="Tabellentextstandardkleinlinksbndig"/>
                  </w:pPr>
                  <w:r>
                    <w:t>&lt; 1.3 kg/Adt</w:t>
                  </w:r>
                </w:p>
              </w:tc>
            </w:tr>
            <w:tr w:rsidR="00420B56" w14:paraId="60393A0F" w14:textId="77777777" w:rsidTr="0061014A">
              <w:tc>
                <w:tcPr>
                  <w:tcW w:w="3209" w:type="dxa"/>
                </w:tcPr>
                <w:p w14:paraId="11332FC6" w14:textId="77777777" w:rsidR="00420B56" w:rsidRPr="00406B3F" w:rsidRDefault="00420B56" w:rsidP="00420B56">
                  <w:pPr>
                    <w:pStyle w:val="Tabellentextstandardkleinlinksbndig"/>
                  </w:pPr>
                  <w:r>
                    <w:t>BSB5</w:t>
                  </w:r>
                </w:p>
              </w:tc>
              <w:tc>
                <w:tcPr>
                  <w:tcW w:w="3209" w:type="dxa"/>
                </w:tcPr>
                <w:p w14:paraId="73BC72C7" w14:textId="77777777" w:rsidR="00420B56" w:rsidRPr="00406B3F" w:rsidRDefault="00420B56" w:rsidP="00420B56">
                  <w:pPr>
                    <w:pStyle w:val="Tabellentextstandardkleinlinksbndig"/>
                  </w:pPr>
                  <w:r>
                    <w:t>&lt; 0.15 kg/Adt or &lt;25 mg/l</w:t>
                  </w:r>
                </w:p>
              </w:tc>
              <w:tc>
                <w:tcPr>
                  <w:tcW w:w="3210" w:type="dxa"/>
                </w:tcPr>
                <w:p w14:paraId="1F8C30CF" w14:textId="77777777" w:rsidR="00420B56" w:rsidRPr="00406B3F" w:rsidRDefault="00420B56" w:rsidP="00420B56">
                  <w:pPr>
                    <w:pStyle w:val="Tabellentextstandardkleinlinksbndig"/>
                  </w:pPr>
                  <w:r>
                    <w:t>&lt; 0.15 kg/Adt or &lt;25 mg/l</w:t>
                  </w:r>
                </w:p>
              </w:tc>
            </w:tr>
            <w:tr w:rsidR="00420B56" w14:paraId="543F4C8B" w14:textId="77777777" w:rsidTr="0061014A">
              <w:tc>
                <w:tcPr>
                  <w:tcW w:w="3209" w:type="dxa"/>
                </w:tcPr>
                <w:p w14:paraId="0E752885" w14:textId="77777777" w:rsidR="00420B56" w:rsidRPr="00406B3F" w:rsidRDefault="00420B56" w:rsidP="00420B56">
                  <w:pPr>
                    <w:pStyle w:val="Tabellentextstandardkleinlinksbndig"/>
                  </w:pPr>
                  <w:r>
                    <w:t>AOX</w:t>
                  </w:r>
                </w:p>
              </w:tc>
              <w:tc>
                <w:tcPr>
                  <w:tcW w:w="3209" w:type="dxa"/>
                </w:tcPr>
                <w:p w14:paraId="3FA02C57" w14:textId="77777777" w:rsidR="00420B56" w:rsidRPr="00406B3F" w:rsidRDefault="00420B56" w:rsidP="00420B56">
                  <w:pPr>
                    <w:pStyle w:val="Tabellentextstandardkleinlinksbndig"/>
                  </w:pPr>
                  <w:r>
                    <w:t>&lt; 0.01 kg/Adt</w:t>
                  </w:r>
                </w:p>
              </w:tc>
              <w:tc>
                <w:tcPr>
                  <w:tcW w:w="3210" w:type="dxa"/>
                </w:tcPr>
                <w:p w14:paraId="7ED1DE04" w14:textId="77777777" w:rsidR="00420B56" w:rsidRPr="00406B3F" w:rsidRDefault="00420B56" w:rsidP="00420B56">
                  <w:pPr>
                    <w:pStyle w:val="Tabellentextstandardkleinlinksbndig"/>
                  </w:pPr>
                  <w:r>
                    <w:t>&lt; 0.01 kg/Adt</w:t>
                  </w:r>
                </w:p>
              </w:tc>
            </w:tr>
            <w:tr w:rsidR="00420B56" w14:paraId="5AF0E286" w14:textId="77777777" w:rsidTr="0061014A">
              <w:tc>
                <w:tcPr>
                  <w:tcW w:w="3209" w:type="dxa"/>
                </w:tcPr>
                <w:p w14:paraId="1B684B89" w14:textId="77777777" w:rsidR="00420B56" w:rsidRPr="00406B3F" w:rsidRDefault="00420B56" w:rsidP="00420B56">
                  <w:pPr>
                    <w:pStyle w:val="Tabellentextstandardkleinlinksbndig"/>
                  </w:pPr>
                  <w:r>
                    <w:t>Total N (inorganic + organic N) (TNb)</w:t>
                  </w:r>
                </w:p>
              </w:tc>
              <w:tc>
                <w:tcPr>
                  <w:tcW w:w="3209" w:type="dxa"/>
                </w:tcPr>
                <w:p w14:paraId="0B2694D9" w14:textId="77777777" w:rsidR="00420B56" w:rsidRPr="00406B3F" w:rsidRDefault="00420B56" w:rsidP="00420B56">
                  <w:pPr>
                    <w:pStyle w:val="Tabellentextstandardkleinlinksbndig"/>
                  </w:pPr>
                  <w:r>
                    <w:t>0.15 kg/Adt or 15 mg/l</w:t>
                  </w:r>
                </w:p>
              </w:tc>
              <w:tc>
                <w:tcPr>
                  <w:tcW w:w="3210" w:type="dxa"/>
                </w:tcPr>
                <w:p w14:paraId="622906A5" w14:textId="77777777" w:rsidR="00420B56" w:rsidRPr="00406B3F" w:rsidRDefault="00420B56" w:rsidP="00420B56">
                  <w:pPr>
                    <w:pStyle w:val="Tabellentextstandardkleinlinksbndig"/>
                  </w:pPr>
                  <w:r>
                    <w:t>0.09 kg/Adt or 15 mg/l</w:t>
                  </w:r>
                </w:p>
              </w:tc>
            </w:tr>
            <w:tr w:rsidR="00420B56" w14:paraId="6A699F3A" w14:textId="77777777" w:rsidTr="0061014A">
              <w:tc>
                <w:tcPr>
                  <w:tcW w:w="3209" w:type="dxa"/>
                </w:tcPr>
                <w:p w14:paraId="662F0ED0" w14:textId="77777777" w:rsidR="00420B56" w:rsidRPr="00406B3F" w:rsidRDefault="00420B56" w:rsidP="00420B56">
                  <w:pPr>
                    <w:pStyle w:val="Tabellentextstandardkleinlinksbndig"/>
                  </w:pPr>
                  <w:r>
                    <w:t>Total P</w:t>
                  </w:r>
                </w:p>
              </w:tc>
              <w:tc>
                <w:tcPr>
                  <w:tcW w:w="3209" w:type="dxa"/>
                </w:tcPr>
                <w:p w14:paraId="36581D20" w14:textId="77777777" w:rsidR="00420B56" w:rsidRPr="00406B3F" w:rsidRDefault="00420B56" w:rsidP="00420B56">
                  <w:pPr>
                    <w:pStyle w:val="Tabellentextstandardkleinlinksbndig"/>
                  </w:pPr>
                  <w:r>
                    <w:t>0.015 kg/Adt or 1.5 mg/l</w:t>
                  </w:r>
                </w:p>
              </w:tc>
              <w:tc>
                <w:tcPr>
                  <w:tcW w:w="3210" w:type="dxa"/>
                </w:tcPr>
                <w:p w14:paraId="6D622D1D" w14:textId="77777777" w:rsidR="00420B56" w:rsidRPr="00406B3F" w:rsidRDefault="00420B56" w:rsidP="00420B56">
                  <w:pPr>
                    <w:pStyle w:val="Tabellentextstandardkleinlinksbndig"/>
                  </w:pPr>
                  <w:r>
                    <w:t>0.008 kg/Adt or 1.5 mg/l</w:t>
                  </w:r>
                </w:p>
              </w:tc>
            </w:tr>
          </w:tbl>
          <w:p w14:paraId="710E7146" w14:textId="77777777" w:rsidR="00420B56" w:rsidRDefault="00420B56" w:rsidP="00420B56">
            <w:pPr>
              <w:pStyle w:val="Standardklein"/>
            </w:pPr>
            <w:r>
              <w:t xml:space="preserve">Adt = air dried ton </w:t>
            </w:r>
          </w:p>
          <w:p w14:paraId="521C7846" w14:textId="77777777" w:rsidR="00420B56" w:rsidRDefault="00420B56" w:rsidP="00420B56">
            <w:pPr>
              <w:pStyle w:val="Standardklein"/>
            </w:pPr>
            <w:r>
              <w:t>COD = chemical oxygen demand</w:t>
            </w:r>
          </w:p>
          <w:p w14:paraId="293EFA5C" w14:textId="77777777" w:rsidR="00420B56" w:rsidRDefault="00420B56" w:rsidP="00420B56">
            <w:pPr>
              <w:pStyle w:val="Standardklein"/>
            </w:pPr>
            <w:r>
              <w:t>BSB5 = biological oxygen demand (5 days)</w:t>
            </w:r>
          </w:p>
          <w:p w14:paraId="70176898" w14:textId="77777777" w:rsidR="00420B56" w:rsidRDefault="00420B56" w:rsidP="00420B56">
            <w:pPr>
              <w:pStyle w:val="Standardklein"/>
            </w:pPr>
            <w:r>
              <w:t>AOX = adsorbable organically combined halogens</w:t>
            </w:r>
          </w:p>
          <w:p w14:paraId="4D1492DE" w14:textId="77777777" w:rsidR="00420B56" w:rsidRDefault="00420B56" w:rsidP="00420B56">
            <w:pPr>
              <w:pStyle w:val="Standardklein"/>
            </w:pPr>
            <w:r>
              <w:t>Total N = total nitrogen TNb = total Nitrogen bound.</w:t>
            </w:r>
            <w:r>
              <w:rPr>
                <w:rStyle w:val="Funotenzeichen"/>
              </w:rPr>
              <w:footnoteReference w:id="9"/>
            </w:r>
          </w:p>
          <w:p w14:paraId="29532E09" w14:textId="77777777" w:rsidR="00420B56" w:rsidRDefault="00420B56" w:rsidP="00420B56">
            <w:pPr>
              <w:pStyle w:val="Standardklein"/>
            </w:pPr>
            <w:r>
              <w:t>Total P = total phosphorous</w:t>
            </w:r>
          </w:p>
          <w:p w14:paraId="7719CB82" w14:textId="77777777" w:rsidR="003D666E" w:rsidRPr="00011D99" w:rsidRDefault="003D666E" w:rsidP="00AE373B">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as an </w:t>
            </w:r>
            <w:r>
              <w:rPr>
                <w:rFonts w:ascii="Verdana" w:hAnsi="Verdana"/>
                <w:b/>
                <w:sz w:val="20"/>
              </w:rPr>
              <w:t>indirect discharger</w:t>
            </w:r>
            <w:r>
              <w:rPr>
                <w:rFonts w:ascii="Verdana" w:hAnsi="Verdana"/>
                <w:sz w:val="20"/>
              </w:rPr>
              <w:t>, we have complied with the limit values in Table 3-2 and especially the volumetric flow rate of waste water and the AOX value at the mixing location,</w:t>
            </w:r>
          </w:p>
        </w:tc>
      </w:tr>
      <w:tr w:rsidR="003D666E" w:rsidRPr="00090161" w14:paraId="727ABD7A" w14:textId="77777777" w:rsidTr="00565983">
        <w:tc>
          <w:tcPr>
            <w:tcW w:w="988" w:type="dxa"/>
            <w:shd w:val="clear" w:color="auto" w:fill="auto"/>
          </w:tcPr>
          <w:p w14:paraId="4B84DD1F" w14:textId="77777777"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rPr>
              <w:t>3.11</w:t>
            </w:r>
          </w:p>
        </w:tc>
        <w:tc>
          <w:tcPr>
            <w:tcW w:w="9432" w:type="dxa"/>
            <w:shd w:val="clear" w:color="auto" w:fill="auto"/>
          </w:tcPr>
          <w:p w14:paraId="4323C8ED" w14:textId="77777777" w:rsidR="009D1F87" w:rsidRDefault="003D666E" w:rsidP="00500850">
            <w:pPr>
              <w:pStyle w:val="Textkrper"/>
              <w:tabs>
                <w:tab w:val="left" w:pos="8222"/>
              </w:tabs>
              <w:spacing w:line="240" w:lineRule="auto"/>
              <w:ind w:left="155" w:hanging="155"/>
              <w:jc w:val="left"/>
              <w:rPr>
                <w:rFonts w:ascii="Verdana" w:hAnsi="Verdana"/>
                <w:sz w:val="20"/>
                <w:szCs w:val="20"/>
              </w:rPr>
            </w:pPr>
            <w:r>
              <w:rPr>
                <w:rFonts w:ascii="Verdana" w:hAnsi="Verdana"/>
                <w:sz w:val="20"/>
              </w:rPr>
              <w:t xml:space="preserve">- the parameters for the emissions to air </w:t>
            </w:r>
          </w:p>
          <w:p w14:paraId="4EDFFDB2" w14:textId="77777777" w:rsidR="009D1F87" w:rsidRDefault="009D1F87" w:rsidP="009D1F87">
            <w:pPr>
              <w:pStyle w:val="Standardklein"/>
            </w:pPr>
            <w:r>
              <w:t>Table 3-</w:t>
            </w:r>
            <w:fldSimple w:instr=" SEQ Tabelle \* ARABIC ">
              <w:r w:rsidR="00CD03BA">
                <w:rPr>
                  <w:noProof/>
                </w:rPr>
                <w:t>3</w:t>
              </w:r>
            </w:fldSimple>
            <w:r>
              <w:t>: Maximum limits for the average annual emission parameters (emissions to air) in the paper production process (average annual value (AAV) in kg/air dry tonne)</w:t>
            </w:r>
          </w:p>
          <w:tbl>
            <w:tblPr>
              <w:tblStyle w:val="TabellefrVergabegrundlageKopfzeileundersteSpaltegrau"/>
              <w:tblW w:w="8143" w:type="dxa"/>
              <w:tblLook w:val="04A0" w:firstRow="1" w:lastRow="0" w:firstColumn="1" w:lastColumn="0" w:noHBand="0" w:noVBand="1"/>
            </w:tblPr>
            <w:tblGrid>
              <w:gridCol w:w="3209"/>
              <w:gridCol w:w="3209"/>
              <w:gridCol w:w="1725"/>
            </w:tblGrid>
            <w:tr w:rsidR="009D1F87" w14:paraId="0480440D" w14:textId="77777777" w:rsidTr="009D1F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9" w:type="dxa"/>
                  <w:vAlign w:val="top"/>
                </w:tcPr>
                <w:p w14:paraId="02146817" w14:textId="77777777" w:rsidR="009D1F87" w:rsidRDefault="009D1F87" w:rsidP="009D1F87">
                  <w:pPr>
                    <w:pStyle w:val="Tabellentextfettkleinlinksbndig"/>
                  </w:pPr>
                </w:p>
              </w:tc>
              <w:tc>
                <w:tcPr>
                  <w:tcW w:w="3209" w:type="dxa"/>
                  <w:vAlign w:val="top"/>
                </w:tcPr>
                <w:p w14:paraId="63E9E656" w14:textId="77777777" w:rsidR="009D1F87" w:rsidRPr="00935F0C" w:rsidRDefault="009D1F87" w:rsidP="009D1F87">
                  <w:pPr>
                    <w:pStyle w:val="Tabellentextfettkleinlinksbndig"/>
                    <w:cnfStyle w:val="100000000000" w:firstRow="1" w:lastRow="0" w:firstColumn="0" w:lastColumn="0" w:oddVBand="0" w:evenVBand="0" w:oddHBand="0" w:evenHBand="0" w:firstRowFirstColumn="0" w:firstRowLastColumn="0" w:lastRowFirstColumn="0" w:lastRowLastColumn="0"/>
                  </w:pPr>
                  <w:r>
                    <w:t>Sulphur (S) as AAV</w:t>
                  </w:r>
                </w:p>
              </w:tc>
              <w:tc>
                <w:tcPr>
                  <w:tcW w:w="1725" w:type="dxa"/>
                  <w:vAlign w:val="top"/>
                </w:tcPr>
                <w:p w14:paraId="1F3662FD" w14:textId="77777777" w:rsidR="009D1F87" w:rsidRPr="00935F0C" w:rsidRDefault="009D1F87" w:rsidP="009D1F87">
                  <w:pPr>
                    <w:pStyle w:val="Tabellentextfettkleinlinksbndig"/>
                    <w:cnfStyle w:val="100000000000" w:firstRow="1" w:lastRow="0" w:firstColumn="0" w:lastColumn="0" w:oddVBand="0" w:evenVBand="0" w:oddHBand="0" w:evenHBand="0" w:firstRowFirstColumn="0" w:firstRowLastColumn="0" w:lastRowFirstColumn="0" w:lastRowLastColumn="0"/>
                  </w:pPr>
                  <w:r>
                    <w:t>NOx as AAV</w:t>
                  </w:r>
                </w:p>
              </w:tc>
            </w:tr>
            <w:tr w:rsidR="009D1F87" w14:paraId="295888E2" w14:textId="77777777" w:rsidTr="009D1F87">
              <w:tc>
                <w:tcPr>
                  <w:cnfStyle w:val="001000000000" w:firstRow="0" w:lastRow="0" w:firstColumn="1" w:lastColumn="0" w:oddVBand="0" w:evenVBand="0" w:oddHBand="0" w:evenHBand="0" w:firstRowFirstColumn="0" w:firstRowLastColumn="0" w:lastRowFirstColumn="0" w:lastRowLastColumn="0"/>
                  <w:tcW w:w="3209" w:type="dxa"/>
                  <w:vAlign w:val="top"/>
                </w:tcPr>
                <w:p w14:paraId="47BF6CC8" w14:textId="77777777" w:rsidR="009D1F87" w:rsidRPr="00935F0C" w:rsidRDefault="009D1F87" w:rsidP="009D1F87">
                  <w:pPr>
                    <w:pStyle w:val="Tabellentextfettkleinlinksbndig"/>
                  </w:pPr>
                  <w:r>
                    <w:t>Preparation of the recovered paper</w:t>
                  </w:r>
                </w:p>
              </w:tc>
              <w:tc>
                <w:tcPr>
                  <w:tcW w:w="3209" w:type="dxa"/>
                  <w:vAlign w:val="top"/>
                </w:tcPr>
                <w:p w14:paraId="15BD0821" w14:textId="77777777" w:rsidR="009D1F87" w:rsidRPr="00935F0C" w:rsidRDefault="009D1F87" w:rsidP="009D1F87">
                  <w:pPr>
                    <w:pStyle w:val="Tabellentextstandardkleinlinksbndig"/>
                    <w:cnfStyle w:val="000000000000" w:firstRow="0" w:lastRow="0" w:firstColumn="0" w:lastColumn="0" w:oddVBand="0" w:evenVBand="0" w:oddHBand="0" w:evenHBand="0" w:firstRowFirstColumn="0" w:firstRowLastColumn="0" w:lastRowFirstColumn="0" w:lastRowLastColumn="0"/>
                  </w:pPr>
                  <w:r>
                    <w:t>0.2 kg/t</w:t>
                  </w:r>
                </w:p>
              </w:tc>
              <w:tc>
                <w:tcPr>
                  <w:tcW w:w="1725" w:type="dxa"/>
                  <w:vAlign w:val="top"/>
                </w:tcPr>
                <w:p w14:paraId="0FED9ACE" w14:textId="77777777" w:rsidR="009D1F87" w:rsidRPr="00935F0C" w:rsidRDefault="009D1F87" w:rsidP="009D1F87">
                  <w:pPr>
                    <w:pStyle w:val="Tabellentextstandardkleinlinksbndig"/>
                    <w:cnfStyle w:val="000000000000" w:firstRow="0" w:lastRow="0" w:firstColumn="0" w:lastColumn="0" w:oddVBand="0" w:evenVBand="0" w:oddHBand="0" w:evenHBand="0" w:firstRowFirstColumn="0" w:firstRowLastColumn="0" w:lastRowFirstColumn="0" w:lastRowLastColumn="0"/>
                  </w:pPr>
                  <w:r>
                    <w:t>0.25 kg/t</w:t>
                  </w:r>
                </w:p>
              </w:tc>
            </w:tr>
            <w:tr w:rsidR="009D1F87" w14:paraId="4527D585" w14:textId="77777777" w:rsidTr="009D1F87">
              <w:tc>
                <w:tcPr>
                  <w:cnfStyle w:val="001000000000" w:firstRow="0" w:lastRow="0" w:firstColumn="1" w:lastColumn="0" w:oddVBand="0" w:evenVBand="0" w:oddHBand="0" w:evenHBand="0" w:firstRowFirstColumn="0" w:firstRowLastColumn="0" w:lastRowFirstColumn="0" w:lastRowLastColumn="0"/>
                  <w:tcW w:w="3209" w:type="dxa"/>
                  <w:vAlign w:val="top"/>
                </w:tcPr>
                <w:p w14:paraId="44881AD8" w14:textId="77777777" w:rsidR="009D1F87" w:rsidRPr="00935F0C" w:rsidRDefault="009D1F87" w:rsidP="009D1F87">
                  <w:pPr>
                    <w:pStyle w:val="Tabellentextfettkleinlinksbndig"/>
                  </w:pPr>
                  <w:r>
                    <w:t>Sanitary paper production</w:t>
                  </w:r>
                </w:p>
              </w:tc>
              <w:tc>
                <w:tcPr>
                  <w:tcW w:w="3209" w:type="dxa"/>
                  <w:vAlign w:val="top"/>
                </w:tcPr>
                <w:p w14:paraId="347ABB05" w14:textId="77777777" w:rsidR="009D1F87" w:rsidRPr="00935F0C" w:rsidRDefault="009D1F87" w:rsidP="009D1F87">
                  <w:pPr>
                    <w:pStyle w:val="Tabellentextstandardkleinlinksbndig"/>
                    <w:cnfStyle w:val="000000000000" w:firstRow="0" w:lastRow="0" w:firstColumn="0" w:lastColumn="0" w:oddVBand="0" w:evenVBand="0" w:oddHBand="0" w:evenHBand="0" w:firstRowFirstColumn="0" w:firstRowLastColumn="0" w:lastRowFirstColumn="0" w:lastRowLastColumn="0"/>
                  </w:pPr>
                  <w:r>
                    <w:t>0.3 kg/t</w:t>
                  </w:r>
                </w:p>
              </w:tc>
              <w:tc>
                <w:tcPr>
                  <w:tcW w:w="1725" w:type="dxa"/>
                  <w:vAlign w:val="top"/>
                </w:tcPr>
                <w:p w14:paraId="63656D88" w14:textId="77777777" w:rsidR="009D1F87" w:rsidRPr="00935F0C" w:rsidRDefault="009D1F87" w:rsidP="009D1F87">
                  <w:pPr>
                    <w:pStyle w:val="Tabellentextstandardkleinlinksbndig"/>
                    <w:cnfStyle w:val="000000000000" w:firstRow="0" w:lastRow="0" w:firstColumn="0" w:lastColumn="0" w:oddVBand="0" w:evenVBand="0" w:oddHBand="0" w:evenHBand="0" w:firstRowFirstColumn="0" w:firstRowLastColumn="0" w:lastRowFirstColumn="0" w:lastRowLastColumn="0"/>
                  </w:pPr>
                  <w:r>
                    <w:t>0.5 kg/t</w:t>
                  </w:r>
                </w:p>
              </w:tc>
            </w:tr>
          </w:tbl>
          <w:p w14:paraId="2437245D" w14:textId="77777777" w:rsidR="003D666E" w:rsidRPr="00011D99" w:rsidRDefault="009D1F87" w:rsidP="005C4958">
            <w:pPr>
              <w:pStyle w:val="Textkrper"/>
              <w:tabs>
                <w:tab w:val="left" w:pos="8222"/>
              </w:tabs>
              <w:spacing w:line="240" w:lineRule="auto"/>
              <w:ind w:left="155" w:hanging="155"/>
              <w:jc w:val="left"/>
              <w:rPr>
                <w:rFonts w:ascii="Verdana" w:hAnsi="Verdana"/>
                <w:sz w:val="20"/>
                <w:szCs w:val="20"/>
              </w:rPr>
            </w:pPr>
            <w:r>
              <w:rPr>
                <w:rFonts w:ascii="Verdana" w:hAnsi="Verdana"/>
                <w:sz w:val="20"/>
              </w:rPr>
              <w:t>were measured and we understood that we should (and not must) comply with the limits in Table 3-3,</w:t>
            </w:r>
          </w:p>
        </w:tc>
      </w:tr>
      <w:tr w:rsidR="00AE373B" w:rsidRPr="00090161" w14:paraId="1D0648EB" w14:textId="77777777" w:rsidTr="00565983">
        <w:tc>
          <w:tcPr>
            <w:tcW w:w="988" w:type="dxa"/>
            <w:shd w:val="clear" w:color="auto" w:fill="auto"/>
          </w:tcPr>
          <w:p w14:paraId="69C3EC47" w14:textId="77777777" w:rsidR="00AE373B" w:rsidRDefault="00AE373B" w:rsidP="00500850">
            <w:pPr>
              <w:pStyle w:val="Textkrper"/>
              <w:tabs>
                <w:tab w:val="left" w:pos="8222"/>
              </w:tabs>
              <w:spacing w:line="240" w:lineRule="auto"/>
              <w:jc w:val="left"/>
              <w:rPr>
                <w:rFonts w:ascii="Verdana" w:hAnsi="Verdana"/>
                <w:b/>
                <w:sz w:val="20"/>
                <w:szCs w:val="20"/>
              </w:rPr>
            </w:pPr>
            <w:r>
              <w:rPr>
                <w:rFonts w:ascii="Verdana" w:hAnsi="Verdana"/>
                <w:b/>
                <w:sz w:val="20"/>
              </w:rPr>
              <w:t xml:space="preserve">3.13 </w:t>
            </w:r>
          </w:p>
        </w:tc>
        <w:tc>
          <w:tcPr>
            <w:tcW w:w="9432" w:type="dxa"/>
            <w:shd w:val="clear" w:color="auto" w:fill="auto"/>
          </w:tcPr>
          <w:p w14:paraId="1C4C3C7B" w14:textId="494DA547" w:rsidR="00AE373B" w:rsidRDefault="00AE373B" w:rsidP="002326F2">
            <w:pPr>
              <w:pStyle w:val="Standardklein"/>
              <w:jc w:val="left"/>
            </w:pPr>
            <w:r>
              <w:rPr>
                <w:sz w:val="20"/>
              </w:rPr>
              <w:t>- we complied with the limits in Table 3-4,</w:t>
            </w:r>
            <w:r w:rsidR="002326F2">
              <w:rPr>
                <w:sz w:val="20"/>
              </w:rPr>
              <w:t xml:space="preserve"> </w:t>
            </w:r>
            <w:r>
              <w:rPr>
                <w:sz w:val="20"/>
              </w:rPr>
              <w:br/>
            </w:r>
            <w:r>
              <w:t>Table 3-</w:t>
            </w:r>
            <w:fldSimple w:instr=" SEQ Tabelle \* ARABIC ">
              <w:r w:rsidR="00CD03BA">
                <w:rPr>
                  <w:noProof/>
                </w:rPr>
                <w:t>4</w:t>
              </w:r>
            </w:fldSimple>
            <w:r>
              <w:t>: Maximum permitted limits for the consumption of process heat and electricity in the production of paper (annual average value in kWh/air dry tonne)</w:t>
            </w:r>
          </w:p>
          <w:tbl>
            <w:tblPr>
              <w:tblStyle w:val="TabellefrVergabegrundlageKopfzeileundersteSpaltegrau"/>
              <w:tblW w:w="8816" w:type="dxa"/>
              <w:tblLook w:val="04A0" w:firstRow="1" w:lastRow="0" w:firstColumn="1" w:lastColumn="0" w:noHBand="0" w:noVBand="1"/>
            </w:tblPr>
            <w:tblGrid>
              <w:gridCol w:w="3209"/>
              <w:gridCol w:w="3209"/>
              <w:gridCol w:w="2398"/>
            </w:tblGrid>
            <w:tr w:rsidR="00AE373B" w14:paraId="16DF81FB" w14:textId="77777777" w:rsidTr="00AE37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9" w:type="dxa"/>
                  <w:vAlign w:val="top"/>
                </w:tcPr>
                <w:p w14:paraId="33B9089C" w14:textId="77777777" w:rsidR="00AE373B" w:rsidRPr="0036773E" w:rsidRDefault="00AE373B" w:rsidP="00AE373B">
                  <w:pPr>
                    <w:pStyle w:val="Tabellentextfettkleinlinksbndig"/>
                  </w:pPr>
                </w:p>
              </w:tc>
              <w:tc>
                <w:tcPr>
                  <w:tcW w:w="3209" w:type="dxa"/>
                  <w:vAlign w:val="top"/>
                </w:tcPr>
                <w:p w14:paraId="5C8C1EEA" w14:textId="77777777" w:rsidR="00AE373B" w:rsidRPr="00460002" w:rsidRDefault="00AE373B" w:rsidP="00AE373B">
                  <w:pPr>
                    <w:pStyle w:val="Tabellentextfettkleinlinksbndig"/>
                    <w:cnfStyle w:val="100000000000" w:firstRow="1" w:lastRow="0" w:firstColumn="0" w:lastColumn="0" w:oddVBand="0" w:evenVBand="0" w:oddHBand="0" w:evenHBand="0" w:firstRowFirstColumn="0" w:firstRowLastColumn="0" w:lastRowFirstColumn="0" w:lastRowLastColumn="0"/>
                  </w:pPr>
                  <w:r>
                    <w:t>Process heat in kWh/t</w:t>
                  </w:r>
                </w:p>
              </w:tc>
              <w:tc>
                <w:tcPr>
                  <w:tcW w:w="2398" w:type="dxa"/>
                  <w:vAlign w:val="top"/>
                </w:tcPr>
                <w:p w14:paraId="068AD379" w14:textId="77777777" w:rsidR="00AE373B" w:rsidRPr="00460002" w:rsidRDefault="00AE373B" w:rsidP="00AE373B">
                  <w:pPr>
                    <w:pStyle w:val="Tabellentextfettkleinlinksbndig"/>
                    <w:cnfStyle w:val="100000000000" w:firstRow="1" w:lastRow="0" w:firstColumn="0" w:lastColumn="0" w:oddVBand="0" w:evenVBand="0" w:oddHBand="0" w:evenHBand="0" w:firstRowFirstColumn="0" w:firstRowLastColumn="0" w:lastRowFirstColumn="0" w:lastRowLastColumn="0"/>
                  </w:pPr>
                  <w:r>
                    <w:t>Electrical power in kWh/t</w:t>
                  </w:r>
                </w:p>
              </w:tc>
            </w:tr>
            <w:tr w:rsidR="00AE373B" w14:paraId="4FB7CFA0" w14:textId="77777777" w:rsidTr="00AE373B">
              <w:tc>
                <w:tcPr>
                  <w:cnfStyle w:val="001000000000" w:firstRow="0" w:lastRow="0" w:firstColumn="1" w:lastColumn="0" w:oddVBand="0" w:evenVBand="0" w:oddHBand="0" w:evenHBand="0" w:firstRowFirstColumn="0" w:firstRowLastColumn="0" w:lastRowFirstColumn="0" w:lastRowLastColumn="0"/>
                  <w:tcW w:w="3209" w:type="dxa"/>
                  <w:vAlign w:val="top"/>
                </w:tcPr>
                <w:p w14:paraId="178A366E" w14:textId="77777777" w:rsidR="00AE373B" w:rsidRPr="00460002" w:rsidRDefault="00AE373B" w:rsidP="00AE373B">
                  <w:pPr>
                    <w:pStyle w:val="Tabellentextfettkleinlinksbndig"/>
                  </w:pPr>
                  <w:r>
                    <w:t>Paper factory with deinking</w:t>
                  </w:r>
                </w:p>
              </w:tc>
              <w:tc>
                <w:tcPr>
                  <w:tcW w:w="3209" w:type="dxa"/>
                  <w:vAlign w:val="top"/>
                </w:tcPr>
                <w:p w14:paraId="2C56CEF0" w14:textId="77777777"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t>2,500</w:t>
                  </w:r>
                </w:p>
              </w:tc>
              <w:tc>
                <w:tcPr>
                  <w:tcW w:w="2398" w:type="dxa"/>
                  <w:vAlign w:val="top"/>
                </w:tcPr>
                <w:p w14:paraId="194D90C7" w14:textId="77777777"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t>1,650</w:t>
                  </w:r>
                </w:p>
              </w:tc>
            </w:tr>
            <w:tr w:rsidR="00AE373B" w14:paraId="20071B46" w14:textId="77777777" w:rsidTr="00AE373B">
              <w:tc>
                <w:tcPr>
                  <w:cnfStyle w:val="001000000000" w:firstRow="0" w:lastRow="0" w:firstColumn="1" w:lastColumn="0" w:oddVBand="0" w:evenVBand="0" w:oddHBand="0" w:evenHBand="0" w:firstRowFirstColumn="0" w:firstRowLastColumn="0" w:lastRowFirstColumn="0" w:lastRowLastColumn="0"/>
                  <w:tcW w:w="3209" w:type="dxa"/>
                  <w:vAlign w:val="top"/>
                </w:tcPr>
                <w:p w14:paraId="59A502D7" w14:textId="77777777" w:rsidR="00AE373B" w:rsidRPr="00460002" w:rsidRDefault="00AE373B" w:rsidP="00AE373B">
                  <w:pPr>
                    <w:pStyle w:val="Tabellentextfettkleinlinksbndig"/>
                  </w:pPr>
                  <w:r>
                    <w:t>Paper factory without deinking</w:t>
                  </w:r>
                </w:p>
              </w:tc>
              <w:tc>
                <w:tcPr>
                  <w:tcW w:w="3209" w:type="dxa"/>
                  <w:vAlign w:val="top"/>
                </w:tcPr>
                <w:p w14:paraId="2A6AEA84" w14:textId="77777777"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t xml:space="preserve">1,700 </w:t>
                  </w:r>
                </w:p>
              </w:tc>
              <w:tc>
                <w:tcPr>
                  <w:tcW w:w="2398" w:type="dxa"/>
                  <w:vAlign w:val="top"/>
                </w:tcPr>
                <w:p w14:paraId="62B39FD2" w14:textId="77777777"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t>950</w:t>
                  </w:r>
                </w:p>
              </w:tc>
            </w:tr>
            <w:tr w:rsidR="00AE373B" w14:paraId="0BC1D20D" w14:textId="77777777" w:rsidTr="00AE373B">
              <w:tc>
                <w:tcPr>
                  <w:cnfStyle w:val="001000000000" w:firstRow="0" w:lastRow="0" w:firstColumn="1" w:lastColumn="0" w:oddVBand="0" w:evenVBand="0" w:oddHBand="0" w:evenHBand="0" w:firstRowFirstColumn="0" w:firstRowLastColumn="0" w:lastRowFirstColumn="0" w:lastRowLastColumn="0"/>
                  <w:tcW w:w="3209" w:type="dxa"/>
                  <w:vAlign w:val="top"/>
                </w:tcPr>
                <w:p w14:paraId="4BAE1A0E" w14:textId="77777777" w:rsidR="00AE373B" w:rsidRPr="00460002" w:rsidRDefault="00AE373B" w:rsidP="00AE373B">
                  <w:pPr>
                    <w:pStyle w:val="Tabellentextfettkleinlinksbndig"/>
                  </w:pPr>
                  <w:r>
                    <w:t xml:space="preserve">Dried deinked recovered paper (DIP) </w:t>
                  </w:r>
                </w:p>
              </w:tc>
              <w:tc>
                <w:tcPr>
                  <w:tcW w:w="3209" w:type="dxa"/>
                  <w:vAlign w:val="top"/>
                </w:tcPr>
                <w:p w14:paraId="712A6BD1" w14:textId="77777777"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t>900</w:t>
                  </w:r>
                </w:p>
              </w:tc>
              <w:tc>
                <w:tcPr>
                  <w:tcW w:w="2398" w:type="dxa"/>
                  <w:vAlign w:val="top"/>
                </w:tcPr>
                <w:p w14:paraId="03771DE0" w14:textId="77777777" w:rsidR="00AE373B" w:rsidRPr="00460002" w:rsidRDefault="00AE373B" w:rsidP="00AE373B">
                  <w:pPr>
                    <w:pStyle w:val="Tabellentextstandardkleinlinksbndig"/>
                    <w:cnfStyle w:val="000000000000" w:firstRow="0" w:lastRow="0" w:firstColumn="0" w:lastColumn="0" w:oddVBand="0" w:evenVBand="0" w:oddHBand="0" w:evenHBand="0" w:firstRowFirstColumn="0" w:firstRowLastColumn="0" w:lastRowFirstColumn="0" w:lastRowLastColumn="0"/>
                  </w:pPr>
                  <w:r>
                    <w:t>950</w:t>
                  </w:r>
                </w:p>
              </w:tc>
            </w:tr>
          </w:tbl>
          <w:p w14:paraId="25A3EEA0" w14:textId="77777777" w:rsidR="00AE373B" w:rsidRPr="00434333" w:rsidRDefault="00AE373B" w:rsidP="00AE373B">
            <w:pPr>
              <w:pStyle w:val="Textkrper"/>
              <w:tabs>
                <w:tab w:val="left" w:pos="8222"/>
              </w:tabs>
              <w:spacing w:line="240" w:lineRule="auto"/>
              <w:ind w:left="155" w:hanging="155"/>
              <w:jc w:val="left"/>
              <w:rPr>
                <w:rFonts w:ascii="Verdana" w:hAnsi="Verdana"/>
                <w:sz w:val="16"/>
                <w:szCs w:val="16"/>
              </w:rPr>
            </w:pPr>
            <w:r>
              <w:rPr>
                <w:rFonts w:ascii="Verdana" w:hAnsi="Verdana"/>
                <w:sz w:val="16"/>
              </w:rPr>
              <w:t>The sum of the process heat and electrical power is permitted to exceed the limit by a total of 10 %;</w:t>
            </w:r>
          </w:p>
        </w:tc>
      </w:tr>
      <w:tr w:rsidR="003D666E" w:rsidRPr="00090161" w14:paraId="2D7E4296" w14:textId="77777777" w:rsidTr="00565983">
        <w:tc>
          <w:tcPr>
            <w:tcW w:w="988" w:type="dxa"/>
            <w:shd w:val="clear" w:color="auto" w:fill="auto"/>
          </w:tcPr>
          <w:p w14:paraId="15281C37" w14:textId="77777777" w:rsidR="003D666E" w:rsidRPr="00090161" w:rsidRDefault="003D666E" w:rsidP="00500850">
            <w:pPr>
              <w:pStyle w:val="Textkrper"/>
              <w:tabs>
                <w:tab w:val="left" w:pos="8222"/>
              </w:tabs>
              <w:spacing w:line="240" w:lineRule="auto"/>
              <w:jc w:val="left"/>
              <w:rPr>
                <w:rFonts w:ascii="Verdana" w:hAnsi="Verdana"/>
                <w:b/>
                <w:sz w:val="20"/>
                <w:szCs w:val="20"/>
              </w:rPr>
            </w:pPr>
            <w:r>
              <w:rPr>
                <w:rFonts w:ascii="Verdana" w:hAnsi="Verdana"/>
                <w:b/>
                <w:sz w:val="20"/>
              </w:rPr>
              <w:t>3.14</w:t>
            </w:r>
          </w:p>
        </w:tc>
        <w:tc>
          <w:tcPr>
            <w:tcW w:w="9432" w:type="dxa"/>
            <w:shd w:val="clear" w:color="auto" w:fill="auto"/>
          </w:tcPr>
          <w:p w14:paraId="3ECF3057" w14:textId="77777777" w:rsidR="003D666E" w:rsidRPr="00090161" w:rsidRDefault="003D666E" w:rsidP="00434333">
            <w:r>
              <w:t>- we have taken note of the fact that in future revisions of the Basic Award Criteria the possibility of requiring the use of certain proportions of plastic recyclate in packaging in the future will be examined, the extent and timing of a switch to sustainable energy sources (purchased and own generation) will be examined, the extent to which renewable energy sources should be required for energy generation (purchased and own generation) in future will be examined, the use of coal and wood biomass as energy sources in thermal energy generation should also be excluded and the existence of microplastics in the product should also be examined where possible.</w:t>
            </w:r>
          </w:p>
        </w:tc>
      </w:tr>
    </w:tbl>
    <w:tbl>
      <w:tblPr>
        <w:tblStyle w:val="Tabellenraster1"/>
        <w:tblW w:w="9644" w:type="dxa"/>
        <w:tblLook w:val="04A0" w:firstRow="1" w:lastRow="0" w:firstColumn="1" w:lastColumn="0" w:noHBand="0" w:noVBand="1"/>
      </w:tblPr>
      <w:tblGrid>
        <w:gridCol w:w="1244"/>
        <w:gridCol w:w="7682"/>
        <w:gridCol w:w="718"/>
      </w:tblGrid>
      <w:tr w:rsidR="00066C1C" w14:paraId="61CA29FB" w14:textId="77777777" w:rsidTr="0061014A">
        <w:tc>
          <w:tcPr>
            <w:tcW w:w="9644" w:type="dxa"/>
            <w:gridSpan w:val="3"/>
          </w:tcPr>
          <w:p w14:paraId="5FCD4B2F" w14:textId="77777777" w:rsidR="00066C1C" w:rsidRPr="00AE373B" w:rsidRDefault="00066C1C" w:rsidP="0061014A">
            <w:pPr>
              <w:pStyle w:val="Textkrper"/>
              <w:tabs>
                <w:tab w:val="left" w:pos="8222"/>
              </w:tabs>
              <w:spacing w:before="120" w:after="120" w:line="240" w:lineRule="auto"/>
              <w:rPr>
                <w:rFonts w:ascii="Verdana" w:hAnsi="Verdana"/>
                <w:sz w:val="20"/>
                <w:szCs w:val="20"/>
                <w:highlight w:val="yellow"/>
              </w:rPr>
            </w:pPr>
            <w:bookmarkStart w:id="7" w:name="_Hlk56689535"/>
            <w:r>
              <w:rPr>
                <w:rFonts w:ascii="Verdana" w:hAnsi="Verdana"/>
                <w:sz w:val="20"/>
              </w:rPr>
              <w:lastRenderedPageBreak/>
              <w:t xml:space="preserve">Please </w:t>
            </w:r>
            <w:r>
              <w:rPr>
                <w:rFonts w:ascii="Verdana" w:hAnsi="Verdana"/>
                <w:b/>
                <w:i/>
                <w:sz w:val="20"/>
              </w:rPr>
              <w:t>SELECT</w:t>
            </w:r>
            <w:r>
              <w:rPr>
                <w:rFonts w:ascii="Verdana" w:hAnsi="Verdana"/>
                <w:sz w:val="20"/>
              </w:rPr>
              <w:t xml:space="preserve"> one answer</w:t>
            </w:r>
            <w:r>
              <w:rPr>
                <w:rFonts w:ascii="Verdana" w:hAnsi="Verdana"/>
                <w:sz w:val="20"/>
              </w:rPr>
              <w:br/>
              <w:t xml:space="preserve">(please only select </w:t>
            </w:r>
            <w:r>
              <w:rPr>
                <w:rFonts w:ascii="Verdana" w:hAnsi="Verdana"/>
                <w:b/>
                <w:sz w:val="20"/>
                <w:u w:val="single"/>
              </w:rPr>
              <w:t>one</w:t>
            </w:r>
            <w:r>
              <w:rPr>
                <w:rFonts w:ascii="Verdana" w:hAnsi="Verdana"/>
                <w:sz w:val="20"/>
              </w:rPr>
              <w:t xml:space="preserve"> option)</w:t>
            </w:r>
          </w:p>
        </w:tc>
      </w:tr>
      <w:tr w:rsidR="00066C1C" w:rsidRPr="00436394" w14:paraId="45F2EBA0" w14:textId="77777777" w:rsidTr="0061014A">
        <w:tc>
          <w:tcPr>
            <w:tcW w:w="1234" w:type="dxa"/>
          </w:tcPr>
          <w:p w14:paraId="23B96F35" w14:textId="77777777" w:rsidR="00066C1C" w:rsidRPr="000B6B8F" w:rsidRDefault="00066C1C" w:rsidP="0061014A">
            <w:pPr>
              <w:pStyle w:val="Textkrper"/>
              <w:tabs>
                <w:tab w:val="left" w:pos="8222"/>
              </w:tabs>
              <w:spacing w:before="60" w:after="60" w:line="240" w:lineRule="auto"/>
              <w:jc w:val="both"/>
              <w:rPr>
                <w:rFonts w:ascii="Verdana" w:hAnsi="Verdana"/>
                <w:sz w:val="20"/>
                <w:szCs w:val="20"/>
              </w:rPr>
            </w:pPr>
            <w:r>
              <w:rPr>
                <w:rFonts w:ascii="Verdana" w:hAnsi="Verdana"/>
                <w:sz w:val="20"/>
              </w:rPr>
              <w:t>Paragraph</w:t>
            </w:r>
          </w:p>
        </w:tc>
        <w:tc>
          <w:tcPr>
            <w:tcW w:w="7692" w:type="dxa"/>
          </w:tcPr>
          <w:p w14:paraId="1BEC02BF" w14:textId="77777777" w:rsidR="00066C1C" w:rsidRPr="000B6B8F" w:rsidRDefault="00066C1C" w:rsidP="0061014A">
            <w:pPr>
              <w:pStyle w:val="Textkrper"/>
              <w:tabs>
                <w:tab w:val="left" w:pos="8222"/>
              </w:tabs>
              <w:spacing w:before="60" w:after="60" w:line="240" w:lineRule="auto"/>
              <w:jc w:val="both"/>
              <w:rPr>
                <w:rFonts w:ascii="Verdana" w:hAnsi="Verdana"/>
                <w:sz w:val="20"/>
                <w:szCs w:val="20"/>
              </w:rPr>
            </w:pPr>
            <w:r>
              <w:rPr>
                <w:rFonts w:ascii="Verdana" w:hAnsi="Verdana"/>
                <w:sz w:val="20"/>
              </w:rPr>
              <w:t>Furthermore, we declare that</w:t>
            </w:r>
          </w:p>
        </w:tc>
        <w:tc>
          <w:tcPr>
            <w:tcW w:w="718" w:type="dxa"/>
          </w:tcPr>
          <w:p w14:paraId="48321F98" w14:textId="77777777" w:rsidR="00066C1C" w:rsidRPr="00F02559" w:rsidRDefault="00066C1C" w:rsidP="0061014A">
            <w:pPr>
              <w:pStyle w:val="Textkrper"/>
              <w:tabs>
                <w:tab w:val="left" w:pos="8222"/>
              </w:tabs>
              <w:spacing w:before="60" w:after="60" w:line="240" w:lineRule="auto"/>
              <w:rPr>
                <w:b/>
                <w:sz w:val="22"/>
              </w:rPr>
            </w:pPr>
            <w:r>
              <w:rPr>
                <w:b/>
                <w:sz w:val="22"/>
              </w:rPr>
              <w:t>Yes</w:t>
            </w:r>
          </w:p>
        </w:tc>
      </w:tr>
      <w:tr w:rsidR="00066C1C" w:rsidRPr="00436394" w14:paraId="58D24D4F" w14:textId="77777777" w:rsidTr="0061014A">
        <w:tc>
          <w:tcPr>
            <w:tcW w:w="1234" w:type="dxa"/>
          </w:tcPr>
          <w:p w14:paraId="13463810" w14:textId="77777777" w:rsidR="00066C1C" w:rsidRPr="00436394" w:rsidRDefault="00066C1C" w:rsidP="0061014A">
            <w:pPr>
              <w:pStyle w:val="Textkrper"/>
              <w:tabs>
                <w:tab w:val="left" w:pos="8222"/>
              </w:tabs>
              <w:spacing w:before="60" w:after="60" w:line="240" w:lineRule="auto"/>
              <w:jc w:val="both"/>
              <w:rPr>
                <w:b/>
                <w:sz w:val="22"/>
              </w:rPr>
            </w:pPr>
            <w:r>
              <w:rPr>
                <w:b/>
                <w:sz w:val="22"/>
              </w:rPr>
              <w:t>3.5</w:t>
            </w:r>
          </w:p>
        </w:tc>
        <w:tc>
          <w:tcPr>
            <w:tcW w:w="7692" w:type="dxa"/>
          </w:tcPr>
          <w:p w14:paraId="07E1769D" w14:textId="77777777" w:rsidR="00A011E9" w:rsidRPr="00A011E9" w:rsidRDefault="00A011E9" w:rsidP="00A011E9">
            <w:pPr>
              <w:pStyle w:val="Textkrper"/>
              <w:tabs>
                <w:tab w:val="clear" w:pos="284"/>
                <w:tab w:val="clear" w:pos="851"/>
                <w:tab w:val="clear" w:pos="3119"/>
                <w:tab w:val="clear" w:pos="3686"/>
                <w:tab w:val="left" w:pos="352"/>
                <w:tab w:val="left" w:pos="8222"/>
              </w:tabs>
              <w:spacing w:line="240" w:lineRule="auto"/>
              <w:jc w:val="left"/>
              <w:rPr>
                <w:rStyle w:val="StandardnurWort"/>
                <w:rFonts w:ascii="Verdana" w:hAnsi="Verdana"/>
                <w:sz w:val="20"/>
                <w:szCs w:val="20"/>
              </w:rPr>
            </w:pPr>
            <w:r>
              <w:rPr>
                <w:rStyle w:val="StandardnurWort"/>
                <w:rFonts w:ascii="Verdana" w:hAnsi="Verdana"/>
                <w:sz w:val="20"/>
              </w:rPr>
              <w:t xml:space="preserve">Colourants, surface finishing agents, auxiliaries and coating materials that contain the following isothiazolinone, </w:t>
            </w:r>
          </w:p>
          <w:p w14:paraId="6F900C5F" w14:textId="77777777" w:rsidR="00A011E9" w:rsidRPr="00A011E9" w:rsidRDefault="00A011E9" w:rsidP="00894B3F">
            <w:pPr>
              <w:pStyle w:val="Textkrper"/>
              <w:numPr>
                <w:ilvl w:val="0"/>
                <w:numId w:val="4"/>
              </w:numPr>
              <w:tabs>
                <w:tab w:val="clear" w:pos="284"/>
                <w:tab w:val="clear" w:pos="851"/>
                <w:tab w:val="clear" w:pos="3119"/>
                <w:tab w:val="clear" w:pos="3686"/>
                <w:tab w:val="left" w:pos="211"/>
                <w:tab w:val="left" w:pos="8222"/>
              </w:tabs>
              <w:spacing w:line="240" w:lineRule="auto"/>
              <w:ind w:left="211" w:hanging="425"/>
              <w:jc w:val="left"/>
              <w:rPr>
                <w:rStyle w:val="StandardfettnurWort"/>
                <w:b w:val="0"/>
                <w:szCs w:val="20"/>
              </w:rPr>
            </w:pPr>
            <w:r>
              <w:rPr>
                <w:rFonts w:ascii="Verdana" w:hAnsi="Verdana"/>
                <w:sz w:val="20"/>
              </w:rPr>
              <w:t>Mixture of 5-chloro-2-methyl-4-isothiazolin-3-one, approx. 3 parts, and 2-Methyl-4-isothiazolin-3-one, approx. 1 part (</w:t>
            </w:r>
            <w:proofErr w:type="gramStart"/>
            <w:r>
              <w:rPr>
                <w:rFonts w:ascii="Verdana" w:hAnsi="Verdana"/>
                <w:sz w:val="20"/>
              </w:rPr>
              <w:t>CIT:MIT</w:t>
            </w:r>
            <w:proofErr w:type="gramEnd"/>
            <w:r>
              <w:rPr>
                <w:rFonts w:ascii="Verdana" w:hAnsi="Verdana"/>
                <w:sz w:val="20"/>
              </w:rPr>
              <w:t xml:space="preserve">): </w:t>
            </w:r>
            <w:r>
              <w:rPr>
                <w:rStyle w:val="StandardfettnurWort"/>
              </w:rPr>
              <w:t>25 μg/dm²</w:t>
            </w:r>
          </w:p>
          <w:p w14:paraId="04378037" w14:textId="77777777" w:rsidR="00066C1C" w:rsidRPr="00A011E9" w:rsidRDefault="00A011E9" w:rsidP="00894B3F">
            <w:pPr>
              <w:pStyle w:val="Textkrper"/>
              <w:numPr>
                <w:ilvl w:val="0"/>
                <w:numId w:val="4"/>
              </w:numPr>
              <w:tabs>
                <w:tab w:val="clear" w:pos="284"/>
                <w:tab w:val="clear" w:pos="851"/>
                <w:tab w:val="clear" w:pos="3119"/>
                <w:tab w:val="clear" w:pos="3686"/>
                <w:tab w:val="left" w:pos="352"/>
                <w:tab w:val="left" w:pos="8222"/>
              </w:tabs>
              <w:spacing w:line="240" w:lineRule="auto"/>
              <w:ind w:left="211" w:hanging="284"/>
              <w:jc w:val="left"/>
              <w:rPr>
                <w:rFonts w:ascii="Verdana" w:hAnsi="Verdana"/>
                <w:sz w:val="20"/>
                <w:szCs w:val="20"/>
              </w:rPr>
            </w:pPr>
            <w:r>
              <w:rPr>
                <w:rFonts w:ascii="Verdana" w:hAnsi="Verdana"/>
                <w:sz w:val="20"/>
              </w:rPr>
              <w:t xml:space="preserve">2-methyl-4-isothiazolin-3-one (MIT): </w:t>
            </w:r>
            <w:r>
              <w:rPr>
                <w:rStyle w:val="StandardfettnurWort"/>
              </w:rPr>
              <w:t>80 μg/dm²</w:t>
            </w:r>
            <w:r>
              <w:rPr>
                <w:rFonts w:ascii="Verdana" w:hAnsi="Verdana"/>
                <w:sz w:val="20"/>
              </w:rPr>
              <w:br/>
            </w:r>
          </w:p>
        </w:tc>
        <w:tc>
          <w:tcPr>
            <w:tcW w:w="718" w:type="dxa"/>
          </w:tcPr>
          <w:p w14:paraId="603E8071" w14:textId="77777777" w:rsidR="00066C1C" w:rsidRPr="00436394" w:rsidRDefault="00066C1C" w:rsidP="0061014A">
            <w:pPr>
              <w:pStyle w:val="Textkrper"/>
              <w:tabs>
                <w:tab w:val="left" w:pos="8222"/>
              </w:tabs>
              <w:spacing w:before="60" w:after="60" w:line="240" w:lineRule="auto"/>
              <w:rPr>
                <w:sz w:val="22"/>
              </w:rPr>
            </w:pPr>
          </w:p>
        </w:tc>
      </w:tr>
      <w:tr w:rsidR="00066C1C" w:rsidRPr="00436394" w14:paraId="34E72F9C" w14:textId="77777777" w:rsidTr="0061014A">
        <w:tc>
          <w:tcPr>
            <w:tcW w:w="1234" w:type="dxa"/>
          </w:tcPr>
          <w:p w14:paraId="16ECBCDF" w14:textId="77777777" w:rsidR="00066C1C" w:rsidRPr="00436394" w:rsidRDefault="00066C1C" w:rsidP="0061014A">
            <w:pPr>
              <w:pStyle w:val="Textkrper"/>
              <w:tabs>
                <w:tab w:val="left" w:pos="8222"/>
              </w:tabs>
              <w:spacing w:before="60" w:after="60" w:line="240" w:lineRule="auto"/>
              <w:jc w:val="both"/>
              <w:rPr>
                <w:b/>
                <w:sz w:val="22"/>
              </w:rPr>
            </w:pPr>
          </w:p>
        </w:tc>
        <w:tc>
          <w:tcPr>
            <w:tcW w:w="7692" w:type="dxa"/>
          </w:tcPr>
          <w:p w14:paraId="13168371" w14:textId="77777777" w:rsidR="00066C1C" w:rsidRPr="00AE373B" w:rsidRDefault="005C4958" w:rsidP="0061014A">
            <w:pPr>
              <w:pStyle w:val="Textkrper"/>
              <w:tabs>
                <w:tab w:val="left" w:pos="8222"/>
              </w:tabs>
              <w:spacing w:before="60" w:after="60" w:line="240" w:lineRule="auto"/>
              <w:jc w:val="both"/>
              <w:rPr>
                <w:rFonts w:ascii="Verdana" w:hAnsi="Verdana"/>
                <w:sz w:val="20"/>
                <w:szCs w:val="20"/>
              </w:rPr>
            </w:pPr>
            <w:r>
              <w:rPr>
                <w:rFonts w:ascii="Verdana" w:hAnsi="Verdana"/>
                <w:sz w:val="20"/>
              </w:rPr>
              <w:t>were NOT added</w:t>
            </w:r>
          </w:p>
        </w:tc>
        <w:tc>
          <w:tcPr>
            <w:tcW w:w="718" w:type="dxa"/>
          </w:tcPr>
          <w:p w14:paraId="61BD4404" w14:textId="4C0DD858" w:rsidR="00066C1C" w:rsidRPr="00436394" w:rsidRDefault="00EF7D40" w:rsidP="0061014A">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00B366E9">
              <w:rPr>
                <w:sz w:val="22"/>
              </w:rPr>
            </w:r>
            <w:r w:rsidR="00B366E9">
              <w:rPr>
                <w:sz w:val="22"/>
              </w:rPr>
              <w:fldChar w:fldCharType="separate"/>
            </w:r>
            <w:r w:rsidRPr="00F87315">
              <w:rPr>
                <w:sz w:val="22"/>
              </w:rPr>
              <w:fldChar w:fldCharType="end"/>
            </w:r>
          </w:p>
        </w:tc>
      </w:tr>
      <w:tr w:rsidR="00066C1C" w:rsidRPr="00436394" w14:paraId="4877F1E3" w14:textId="77777777" w:rsidTr="0061014A">
        <w:tc>
          <w:tcPr>
            <w:tcW w:w="1234" w:type="dxa"/>
          </w:tcPr>
          <w:p w14:paraId="241A4B91" w14:textId="77777777" w:rsidR="00066C1C" w:rsidRPr="00436394" w:rsidRDefault="00066C1C" w:rsidP="0061014A">
            <w:pPr>
              <w:pStyle w:val="Textkrper"/>
              <w:tabs>
                <w:tab w:val="left" w:pos="8222"/>
              </w:tabs>
              <w:spacing w:before="60" w:after="60" w:line="240" w:lineRule="auto"/>
              <w:jc w:val="both"/>
              <w:rPr>
                <w:b/>
                <w:sz w:val="22"/>
              </w:rPr>
            </w:pPr>
          </w:p>
        </w:tc>
        <w:tc>
          <w:tcPr>
            <w:tcW w:w="7692" w:type="dxa"/>
          </w:tcPr>
          <w:p w14:paraId="1FD1AFA0" w14:textId="77777777" w:rsidR="00066C1C" w:rsidRPr="00AE373B" w:rsidRDefault="00066C1C" w:rsidP="0061014A">
            <w:pPr>
              <w:pStyle w:val="Textkrper"/>
              <w:tabs>
                <w:tab w:val="left" w:pos="8222"/>
              </w:tabs>
              <w:spacing w:before="60" w:after="60" w:line="240" w:lineRule="auto"/>
              <w:rPr>
                <w:rFonts w:ascii="Verdana" w:hAnsi="Verdana"/>
                <w:b/>
                <w:sz w:val="20"/>
                <w:szCs w:val="20"/>
              </w:rPr>
            </w:pPr>
            <w:r>
              <w:rPr>
                <w:rFonts w:ascii="Verdana" w:hAnsi="Verdana"/>
                <w:b/>
                <w:sz w:val="20"/>
              </w:rPr>
              <w:t>or</w:t>
            </w:r>
          </w:p>
        </w:tc>
        <w:tc>
          <w:tcPr>
            <w:tcW w:w="718" w:type="dxa"/>
          </w:tcPr>
          <w:p w14:paraId="4A4B5E92" w14:textId="77777777" w:rsidR="00066C1C" w:rsidRPr="00436394" w:rsidRDefault="00066C1C" w:rsidP="0061014A">
            <w:pPr>
              <w:pStyle w:val="Textkrper"/>
              <w:tabs>
                <w:tab w:val="left" w:pos="8222"/>
              </w:tabs>
              <w:spacing w:before="60" w:after="60" w:line="240" w:lineRule="auto"/>
              <w:rPr>
                <w:sz w:val="22"/>
              </w:rPr>
            </w:pPr>
          </w:p>
        </w:tc>
      </w:tr>
      <w:tr w:rsidR="00066C1C" w:rsidRPr="00436394" w14:paraId="6A8A3147" w14:textId="77777777" w:rsidTr="0061014A">
        <w:tc>
          <w:tcPr>
            <w:tcW w:w="1234" w:type="dxa"/>
          </w:tcPr>
          <w:p w14:paraId="3C876C0E" w14:textId="77777777" w:rsidR="00066C1C" w:rsidRPr="00436394" w:rsidRDefault="00066C1C" w:rsidP="0061014A">
            <w:pPr>
              <w:pStyle w:val="Textkrper"/>
              <w:tabs>
                <w:tab w:val="left" w:pos="8222"/>
              </w:tabs>
              <w:spacing w:before="60" w:after="60" w:line="240" w:lineRule="auto"/>
              <w:jc w:val="both"/>
              <w:rPr>
                <w:b/>
                <w:sz w:val="22"/>
              </w:rPr>
            </w:pPr>
          </w:p>
        </w:tc>
        <w:tc>
          <w:tcPr>
            <w:tcW w:w="7692" w:type="dxa"/>
          </w:tcPr>
          <w:p w14:paraId="32491FB7" w14:textId="77777777" w:rsidR="00A011E9" w:rsidRPr="00A011E9" w:rsidRDefault="00A011E9" w:rsidP="00A011E9">
            <w:pPr>
              <w:pStyle w:val="Textkrper"/>
              <w:tabs>
                <w:tab w:val="clear" w:pos="284"/>
                <w:tab w:val="clear" w:pos="851"/>
                <w:tab w:val="clear" w:pos="3119"/>
                <w:tab w:val="clear" w:pos="3686"/>
                <w:tab w:val="left" w:pos="352"/>
                <w:tab w:val="left" w:pos="8222"/>
              </w:tabs>
              <w:spacing w:line="240" w:lineRule="auto"/>
              <w:jc w:val="left"/>
              <w:rPr>
                <w:rStyle w:val="StandardnurWort"/>
                <w:rFonts w:ascii="Verdana" w:hAnsi="Verdana"/>
                <w:sz w:val="20"/>
                <w:szCs w:val="20"/>
              </w:rPr>
            </w:pPr>
            <w:r>
              <w:rPr>
                <w:rStyle w:val="StandardnurWort"/>
                <w:rFonts w:ascii="Verdana" w:hAnsi="Verdana"/>
                <w:sz w:val="20"/>
              </w:rPr>
              <w:t xml:space="preserve">Colourants, surface finishing agents, auxiliaries and coating materials that contain the following isothiazolinone, </w:t>
            </w:r>
          </w:p>
          <w:p w14:paraId="3A528606" w14:textId="77777777" w:rsidR="00A011E9" w:rsidRPr="00A011E9" w:rsidRDefault="00A011E9" w:rsidP="00894B3F">
            <w:pPr>
              <w:pStyle w:val="Textkrper"/>
              <w:numPr>
                <w:ilvl w:val="0"/>
                <w:numId w:val="4"/>
              </w:numPr>
              <w:tabs>
                <w:tab w:val="clear" w:pos="284"/>
                <w:tab w:val="clear" w:pos="851"/>
                <w:tab w:val="clear" w:pos="3119"/>
                <w:tab w:val="clear" w:pos="3686"/>
                <w:tab w:val="left" w:pos="352"/>
                <w:tab w:val="left" w:pos="8222"/>
              </w:tabs>
              <w:spacing w:line="240" w:lineRule="auto"/>
              <w:ind w:left="211" w:hanging="211"/>
              <w:jc w:val="left"/>
              <w:rPr>
                <w:rStyle w:val="StandardfettnurWort"/>
                <w:b w:val="0"/>
                <w:szCs w:val="20"/>
              </w:rPr>
            </w:pPr>
            <w:r>
              <w:rPr>
                <w:rFonts w:ascii="Verdana" w:hAnsi="Verdana"/>
                <w:sz w:val="20"/>
              </w:rPr>
              <w:t>Mixture of 5-chloro-2-methyl-4-isothiazolin-3-one, approx. 3 parts, and 2-Methyl-4-isothiazolin-3-one, approx. 1 part (</w:t>
            </w:r>
            <w:proofErr w:type="gramStart"/>
            <w:r>
              <w:rPr>
                <w:rFonts w:ascii="Verdana" w:hAnsi="Verdana"/>
                <w:sz w:val="20"/>
              </w:rPr>
              <w:t>CIT:MIT</w:t>
            </w:r>
            <w:proofErr w:type="gramEnd"/>
            <w:r>
              <w:rPr>
                <w:rFonts w:ascii="Verdana" w:hAnsi="Verdana"/>
                <w:sz w:val="20"/>
              </w:rPr>
              <w:t xml:space="preserve">): </w:t>
            </w:r>
            <w:r>
              <w:rPr>
                <w:rStyle w:val="StandardfettnurWort"/>
              </w:rPr>
              <w:t>25 μg/dm²</w:t>
            </w:r>
          </w:p>
          <w:p w14:paraId="0AEC6628" w14:textId="77777777" w:rsidR="00066C1C" w:rsidRPr="00A011E9" w:rsidRDefault="00A011E9" w:rsidP="00894B3F">
            <w:pPr>
              <w:pStyle w:val="Textkrper"/>
              <w:numPr>
                <w:ilvl w:val="0"/>
                <w:numId w:val="4"/>
              </w:numPr>
              <w:tabs>
                <w:tab w:val="clear" w:pos="284"/>
                <w:tab w:val="clear" w:pos="851"/>
                <w:tab w:val="clear" w:pos="3119"/>
                <w:tab w:val="clear" w:pos="3686"/>
                <w:tab w:val="left" w:pos="352"/>
                <w:tab w:val="left" w:pos="8222"/>
              </w:tabs>
              <w:spacing w:line="240" w:lineRule="auto"/>
              <w:ind w:left="211" w:hanging="211"/>
              <w:jc w:val="left"/>
              <w:rPr>
                <w:rFonts w:ascii="Verdana" w:hAnsi="Verdana"/>
                <w:sz w:val="20"/>
                <w:szCs w:val="20"/>
              </w:rPr>
            </w:pPr>
            <w:r>
              <w:rPr>
                <w:rFonts w:ascii="Verdana" w:hAnsi="Verdana"/>
                <w:sz w:val="20"/>
              </w:rPr>
              <w:t xml:space="preserve">2-methyl-4-isothiazolin-3-one (MIT): </w:t>
            </w:r>
            <w:r>
              <w:rPr>
                <w:rStyle w:val="StandardfettnurWort"/>
              </w:rPr>
              <w:t>80 μg/dm²</w:t>
            </w:r>
            <w:r>
              <w:rPr>
                <w:rFonts w:ascii="Verdana" w:hAnsi="Verdana"/>
                <w:sz w:val="20"/>
              </w:rPr>
              <w:br/>
              <w:t xml:space="preserve"> </w:t>
            </w:r>
          </w:p>
        </w:tc>
        <w:tc>
          <w:tcPr>
            <w:tcW w:w="718" w:type="dxa"/>
          </w:tcPr>
          <w:p w14:paraId="2A17B512" w14:textId="77777777" w:rsidR="00066C1C" w:rsidRPr="00436394" w:rsidRDefault="00066C1C" w:rsidP="0061014A">
            <w:pPr>
              <w:pStyle w:val="Textkrper"/>
              <w:tabs>
                <w:tab w:val="left" w:pos="8222"/>
              </w:tabs>
              <w:spacing w:before="60" w:after="60" w:line="240" w:lineRule="auto"/>
              <w:rPr>
                <w:sz w:val="22"/>
              </w:rPr>
            </w:pPr>
          </w:p>
        </w:tc>
      </w:tr>
      <w:tr w:rsidR="00066C1C" w:rsidRPr="00436394" w14:paraId="7F640683" w14:textId="77777777" w:rsidTr="0061014A">
        <w:tc>
          <w:tcPr>
            <w:tcW w:w="1234" w:type="dxa"/>
          </w:tcPr>
          <w:p w14:paraId="52916468" w14:textId="77777777" w:rsidR="00066C1C" w:rsidRPr="00436394" w:rsidRDefault="00066C1C" w:rsidP="0061014A">
            <w:pPr>
              <w:pStyle w:val="Textkrper"/>
              <w:tabs>
                <w:tab w:val="left" w:pos="8222"/>
              </w:tabs>
              <w:spacing w:before="60" w:after="60" w:line="240" w:lineRule="auto"/>
              <w:jc w:val="both"/>
              <w:rPr>
                <w:b/>
                <w:sz w:val="22"/>
              </w:rPr>
            </w:pPr>
          </w:p>
        </w:tc>
        <w:tc>
          <w:tcPr>
            <w:tcW w:w="7692" w:type="dxa"/>
          </w:tcPr>
          <w:p w14:paraId="2EC5CE09" w14:textId="77777777" w:rsidR="00066C1C" w:rsidRPr="00AE373B" w:rsidRDefault="00066C1C" w:rsidP="0061014A">
            <w:pPr>
              <w:pStyle w:val="Textkrper"/>
              <w:tabs>
                <w:tab w:val="left" w:pos="8222"/>
              </w:tabs>
              <w:spacing w:before="60" w:after="60" w:line="240" w:lineRule="auto"/>
              <w:jc w:val="both"/>
              <w:rPr>
                <w:rFonts w:ascii="Verdana" w:hAnsi="Verdana"/>
                <w:sz w:val="20"/>
                <w:szCs w:val="20"/>
              </w:rPr>
            </w:pPr>
            <w:r>
              <w:rPr>
                <w:rFonts w:ascii="Verdana" w:hAnsi="Verdana"/>
                <w:sz w:val="20"/>
              </w:rPr>
              <w:t>were added;</w:t>
            </w:r>
          </w:p>
        </w:tc>
        <w:tc>
          <w:tcPr>
            <w:tcW w:w="718" w:type="dxa"/>
          </w:tcPr>
          <w:p w14:paraId="757E0A74" w14:textId="4A318734" w:rsidR="00066C1C" w:rsidRPr="00436394" w:rsidRDefault="00EF7D40" w:rsidP="0061014A">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00B366E9">
              <w:rPr>
                <w:sz w:val="22"/>
              </w:rPr>
            </w:r>
            <w:r w:rsidR="00B366E9">
              <w:rPr>
                <w:sz w:val="22"/>
              </w:rPr>
              <w:fldChar w:fldCharType="separate"/>
            </w:r>
            <w:r w:rsidRPr="00F87315">
              <w:rPr>
                <w:sz w:val="22"/>
              </w:rPr>
              <w:fldChar w:fldCharType="end"/>
            </w:r>
          </w:p>
        </w:tc>
      </w:tr>
      <w:tr w:rsidR="00A011E9" w:rsidRPr="00436394" w14:paraId="39D190B0" w14:textId="77777777" w:rsidTr="0061014A">
        <w:tc>
          <w:tcPr>
            <w:tcW w:w="1234" w:type="dxa"/>
          </w:tcPr>
          <w:p w14:paraId="3B5AD1E4" w14:textId="77777777" w:rsidR="00A011E9" w:rsidRPr="00436394" w:rsidRDefault="00A011E9" w:rsidP="00A011E9">
            <w:pPr>
              <w:pStyle w:val="Textkrper"/>
              <w:tabs>
                <w:tab w:val="left" w:pos="8222"/>
              </w:tabs>
              <w:spacing w:before="60" w:after="60" w:line="240" w:lineRule="auto"/>
              <w:jc w:val="both"/>
              <w:rPr>
                <w:b/>
                <w:sz w:val="22"/>
              </w:rPr>
            </w:pPr>
          </w:p>
        </w:tc>
        <w:tc>
          <w:tcPr>
            <w:tcW w:w="7692" w:type="dxa"/>
          </w:tcPr>
          <w:p w14:paraId="2632ECE0" w14:textId="77777777" w:rsidR="00A011E9" w:rsidRPr="00A011E9" w:rsidRDefault="00A011E9" w:rsidP="00A011E9">
            <w:pPr>
              <w:rPr>
                <w:rStyle w:val="StandardnurWort"/>
              </w:rPr>
            </w:pPr>
            <w:r>
              <w:rPr>
                <w:rStyle w:val="StandardnurWort"/>
              </w:rPr>
              <w:t>colourants, surface finishing agents, auxiliaries and coating materials that contain isothiazolinone were only used if it can be verified that the following quantities are not exceeded in total in the extracts from the finished products:</w:t>
            </w:r>
          </w:p>
          <w:p w14:paraId="0AB60713" w14:textId="77777777" w:rsidR="00A011E9" w:rsidRPr="00A011E9" w:rsidRDefault="00A011E9" w:rsidP="00855864">
            <w:pPr>
              <w:pStyle w:val="AufzhlungPunkt2"/>
              <w:numPr>
                <w:ilvl w:val="0"/>
                <w:numId w:val="4"/>
              </w:numPr>
              <w:ind w:left="211" w:hanging="211"/>
              <w:jc w:val="left"/>
            </w:pPr>
            <w:r>
              <w:t>Mixture of 5-chloro-2-methyl-4-isothiazolin-3-one, approx. 3 parts, and 2-Methyl-4-isothiazolin-3-one, approx. 1 part (</w:t>
            </w:r>
            <w:proofErr w:type="gramStart"/>
            <w:r>
              <w:t>CIT:MIT</w:t>
            </w:r>
            <w:proofErr w:type="gramEnd"/>
            <w:r>
              <w:t xml:space="preserve">): </w:t>
            </w:r>
            <w:r>
              <w:rPr>
                <w:rStyle w:val="StandardfettnurWort"/>
              </w:rPr>
              <w:t>25 μg/dm²</w:t>
            </w:r>
          </w:p>
          <w:p w14:paraId="043A1223" w14:textId="77777777" w:rsidR="00A011E9" w:rsidRPr="00AE373B" w:rsidRDefault="00A011E9" w:rsidP="00855864">
            <w:pPr>
              <w:pStyle w:val="AufzhlungPunkt2"/>
              <w:numPr>
                <w:ilvl w:val="0"/>
                <w:numId w:val="4"/>
              </w:numPr>
              <w:ind w:left="211" w:hanging="211"/>
            </w:pPr>
            <w:r>
              <w:t xml:space="preserve">2-methyl-4-isothiazolin-3-one (MIT): </w:t>
            </w:r>
            <w:r>
              <w:rPr>
                <w:rStyle w:val="StandardfettnurWort"/>
              </w:rPr>
              <w:t>80 μg/dm².</w:t>
            </w:r>
          </w:p>
        </w:tc>
        <w:tc>
          <w:tcPr>
            <w:tcW w:w="718" w:type="dxa"/>
          </w:tcPr>
          <w:p w14:paraId="42D67EF7" w14:textId="691CAA8F" w:rsidR="00A011E9" w:rsidRPr="00436394" w:rsidRDefault="00EF7D40" w:rsidP="00A011E9">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00B366E9">
              <w:rPr>
                <w:sz w:val="22"/>
              </w:rPr>
            </w:r>
            <w:r w:rsidR="00B366E9">
              <w:rPr>
                <w:sz w:val="22"/>
              </w:rPr>
              <w:fldChar w:fldCharType="separate"/>
            </w:r>
            <w:r w:rsidRPr="00F87315">
              <w:rPr>
                <w:sz w:val="22"/>
              </w:rPr>
              <w:fldChar w:fldCharType="end"/>
            </w:r>
          </w:p>
        </w:tc>
      </w:tr>
      <w:tr w:rsidR="001F114D" w:rsidRPr="00436394" w14:paraId="5321BEBF" w14:textId="77777777" w:rsidTr="0061014A">
        <w:tc>
          <w:tcPr>
            <w:tcW w:w="1234" w:type="dxa"/>
          </w:tcPr>
          <w:p w14:paraId="37A88A4D" w14:textId="77777777" w:rsidR="001F114D" w:rsidRPr="00436394" w:rsidRDefault="001F114D" w:rsidP="001F114D">
            <w:pPr>
              <w:pStyle w:val="Textkrper"/>
              <w:tabs>
                <w:tab w:val="left" w:pos="8222"/>
              </w:tabs>
              <w:spacing w:before="60" w:after="60" w:line="240" w:lineRule="auto"/>
              <w:jc w:val="both"/>
              <w:rPr>
                <w:b/>
                <w:sz w:val="22"/>
              </w:rPr>
            </w:pPr>
          </w:p>
        </w:tc>
        <w:tc>
          <w:tcPr>
            <w:tcW w:w="7692" w:type="dxa"/>
          </w:tcPr>
          <w:p w14:paraId="57CE880F" w14:textId="77777777" w:rsidR="001F114D" w:rsidRPr="00A011E9" w:rsidRDefault="001F114D" w:rsidP="001F114D">
            <w:pPr>
              <w:pStyle w:val="AufzhlungPunkt2"/>
              <w:numPr>
                <w:ilvl w:val="0"/>
                <w:numId w:val="0"/>
              </w:numPr>
              <w:jc w:val="left"/>
              <w:rPr>
                <w:rFonts w:cs="Arial"/>
              </w:rPr>
            </w:pPr>
            <w:r>
              <w:t xml:space="preserve">The extracted quantities of the above-named biocides in the finished products were verified in accordance with the “Guidelines for verifying the mass transfer from consumer goods made out of paper and board” (Leitfaden zur Überprüfung der Stoffübergänge von Bedarfsgegenständen aus Papier, Karton und Pappe) from the BfR. Depending on the type of product, the extracts were produced in accordance with the “Collection of methods for examining paper and board for food contact” ("Methodensammlung zur Untersuchung von Papier, Karton und Pappe für den Lebensmittelkontakt) from the BfR and in accordance with DIN EN 645 (preparation of a </w:t>
            </w:r>
            <w:proofErr w:type="gramStart"/>
            <w:r>
              <w:t>cold water</w:t>
            </w:r>
            <w:proofErr w:type="gramEnd"/>
            <w:r>
              <w:t xml:space="preserve"> extract). The quantities were determined using LC-MS (liquid chromatography and mass spectrometry).</w:t>
            </w:r>
          </w:p>
          <w:p w14:paraId="29468A5B" w14:textId="77777777" w:rsidR="001F114D" w:rsidRPr="00A011E9" w:rsidRDefault="001F114D" w:rsidP="001F114D">
            <w:pPr>
              <w:rPr>
                <w:rStyle w:val="StandardnurWort"/>
              </w:rPr>
            </w:pPr>
            <w:r>
              <w:t>The test report from an independent testing institution, accredited according to ISO 17025, is enclosed.</w:t>
            </w:r>
          </w:p>
        </w:tc>
        <w:tc>
          <w:tcPr>
            <w:tcW w:w="718" w:type="dxa"/>
          </w:tcPr>
          <w:p w14:paraId="123695E9" w14:textId="0BC81388" w:rsidR="001F114D" w:rsidRPr="00436394" w:rsidRDefault="00EF7D40" w:rsidP="001F114D">
            <w:pPr>
              <w:pStyle w:val="Textkrper"/>
              <w:tabs>
                <w:tab w:val="left" w:pos="8222"/>
              </w:tabs>
              <w:spacing w:before="60" w:after="60" w:line="240" w:lineRule="auto"/>
              <w:rPr>
                <w:sz w:val="22"/>
              </w:rPr>
            </w:pPr>
            <w:r w:rsidRPr="00F87315">
              <w:rPr>
                <w:sz w:val="22"/>
              </w:rPr>
              <w:fldChar w:fldCharType="begin">
                <w:ffData>
                  <w:name w:val="Kontrollkästchen24"/>
                  <w:enabled/>
                  <w:calcOnExit w:val="0"/>
                  <w:checkBox>
                    <w:sizeAuto/>
                    <w:default w:val="0"/>
                  </w:checkBox>
                </w:ffData>
              </w:fldChar>
            </w:r>
            <w:r w:rsidRPr="00F87315">
              <w:rPr>
                <w:sz w:val="22"/>
              </w:rPr>
              <w:instrText xml:space="preserve"> FORMCHECKBOX </w:instrText>
            </w:r>
            <w:r w:rsidR="00B366E9">
              <w:rPr>
                <w:sz w:val="22"/>
              </w:rPr>
            </w:r>
            <w:r w:rsidR="00B366E9">
              <w:rPr>
                <w:sz w:val="22"/>
              </w:rPr>
              <w:fldChar w:fldCharType="separate"/>
            </w:r>
            <w:r w:rsidRPr="00F87315">
              <w:rPr>
                <w:sz w:val="22"/>
              </w:rPr>
              <w:fldChar w:fldCharType="end"/>
            </w:r>
          </w:p>
        </w:tc>
      </w:tr>
    </w:tbl>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3D666E" w:rsidRPr="00F1664D" w14:paraId="78075A2B" w14:textId="77777777" w:rsidTr="00500850">
        <w:trPr>
          <w:trHeight w:val="488"/>
        </w:trPr>
        <w:tc>
          <w:tcPr>
            <w:tcW w:w="1273" w:type="dxa"/>
            <w:tcBorders>
              <w:top w:val="nil"/>
              <w:left w:val="nil"/>
              <w:bottom w:val="nil"/>
            </w:tcBorders>
            <w:vAlign w:val="center"/>
          </w:tcPr>
          <w:bookmarkEnd w:id="7"/>
          <w:p w14:paraId="509F7A94" w14:textId="77777777" w:rsidR="003D666E" w:rsidRPr="00F1664D" w:rsidRDefault="003D666E" w:rsidP="00500850">
            <w:pPr>
              <w:rPr>
                <w:rFonts w:cs="Arial"/>
                <w:b/>
              </w:rPr>
            </w:pPr>
            <w:r>
              <w:rPr>
                <w:b/>
              </w:rPr>
              <w:t>Location:</w:t>
            </w:r>
          </w:p>
        </w:tc>
        <w:tc>
          <w:tcPr>
            <w:tcW w:w="2030" w:type="dxa"/>
            <w:tcBorders>
              <w:bottom w:val="single" w:sz="4" w:space="0" w:color="auto"/>
            </w:tcBorders>
            <w:vAlign w:val="center"/>
          </w:tcPr>
          <w:p w14:paraId="112E6DC3" w14:textId="6323A520" w:rsidR="003D666E" w:rsidRPr="00F1664D" w:rsidRDefault="00E3175C" w:rsidP="00500850">
            <w:pPr>
              <w:rPr>
                <w:rFonts w:cs="Arial"/>
              </w:rPr>
            </w:pPr>
            <w:r w:rsidRPr="00F1664D">
              <w:rPr>
                <w:rFonts w:cs="Arial"/>
              </w:rPr>
              <w:fldChar w:fldCharType="begin">
                <w:ffData>
                  <w:name w:val="Text18"/>
                  <w:enabled/>
                  <w:calcOnExit w:val="0"/>
                  <w:textInput/>
                </w:ffData>
              </w:fldChar>
            </w:r>
            <w:bookmarkStart w:id="8" w:name="Text18"/>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bookmarkEnd w:id="8"/>
          </w:p>
        </w:tc>
        <w:tc>
          <w:tcPr>
            <w:tcW w:w="448" w:type="dxa"/>
            <w:tcBorders>
              <w:top w:val="nil"/>
              <w:bottom w:val="nil"/>
            </w:tcBorders>
          </w:tcPr>
          <w:p w14:paraId="3D359E31" w14:textId="77777777" w:rsidR="003D666E" w:rsidRPr="00F1664D" w:rsidRDefault="003D666E" w:rsidP="00500850">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4D029B29" w14:textId="77777777" w:rsidR="003D666E" w:rsidRPr="00F1664D" w:rsidRDefault="003D666E" w:rsidP="00500850">
                <w:pPr>
                  <w:jc w:val="center"/>
                  <w:rPr>
                    <w:rFonts w:cs="Arial"/>
                    <w:b/>
                  </w:rPr>
                </w:pPr>
                <w:r>
                  <w:rPr>
                    <w:b/>
                    <w:noProof/>
                  </w:rPr>
                  <w:drawing>
                    <wp:inline distT="0" distB="0" distL="0" distR="0" wp14:anchorId="31B3E12A" wp14:editId="5CD1C70C">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3D666E" w:rsidRPr="00F1664D" w14:paraId="5D4C5E85" w14:textId="77777777" w:rsidTr="00500850">
        <w:tc>
          <w:tcPr>
            <w:tcW w:w="1273" w:type="dxa"/>
            <w:tcBorders>
              <w:top w:val="nil"/>
              <w:left w:val="nil"/>
              <w:bottom w:val="nil"/>
              <w:right w:val="nil"/>
            </w:tcBorders>
            <w:vAlign w:val="center"/>
          </w:tcPr>
          <w:p w14:paraId="4D1B2180" w14:textId="77777777" w:rsidR="003D666E" w:rsidRPr="00F1664D" w:rsidRDefault="003D666E" w:rsidP="00500850">
            <w:pPr>
              <w:rPr>
                <w:rFonts w:cs="Arial"/>
                <w:b/>
              </w:rPr>
            </w:pPr>
          </w:p>
        </w:tc>
        <w:tc>
          <w:tcPr>
            <w:tcW w:w="2030" w:type="dxa"/>
            <w:tcBorders>
              <w:left w:val="nil"/>
              <w:right w:val="nil"/>
            </w:tcBorders>
            <w:vAlign w:val="center"/>
          </w:tcPr>
          <w:p w14:paraId="24E10B56" w14:textId="77777777" w:rsidR="003D666E" w:rsidRPr="00F1664D" w:rsidRDefault="003D666E" w:rsidP="00500850">
            <w:pPr>
              <w:jc w:val="center"/>
              <w:rPr>
                <w:rFonts w:cs="Arial"/>
                <w:b/>
              </w:rPr>
            </w:pPr>
          </w:p>
        </w:tc>
        <w:tc>
          <w:tcPr>
            <w:tcW w:w="448" w:type="dxa"/>
            <w:tcBorders>
              <w:top w:val="nil"/>
              <w:left w:val="nil"/>
              <w:bottom w:val="nil"/>
            </w:tcBorders>
          </w:tcPr>
          <w:p w14:paraId="687CA1EE" w14:textId="77777777" w:rsidR="003D666E" w:rsidRPr="00F1664D" w:rsidRDefault="003D666E" w:rsidP="00500850">
            <w:pPr>
              <w:jc w:val="center"/>
              <w:rPr>
                <w:rFonts w:cs="Arial"/>
                <w:b/>
              </w:rPr>
            </w:pPr>
          </w:p>
        </w:tc>
        <w:tc>
          <w:tcPr>
            <w:tcW w:w="5580" w:type="dxa"/>
            <w:vMerge/>
            <w:tcBorders>
              <w:right w:val="single" w:sz="4" w:space="0" w:color="auto"/>
            </w:tcBorders>
            <w:vAlign w:val="center"/>
          </w:tcPr>
          <w:p w14:paraId="105D1070" w14:textId="77777777" w:rsidR="003D666E" w:rsidRPr="00F1664D" w:rsidRDefault="003D666E" w:rsidP="00500850">
            <w:pPr>
              <w:jc w:val="center"/>
              <w:rPr>
                <w:rFonts w:cs="Arial"/>
                <w:b/>
              </w:rPr>
            </w:pPr>
          </w:p>
        </w:tc>
      </w:tr>
      <w:tr w:rsidR="003D666E" w:rsidRPr="00F1664D" w14:paraId="7D5757F6" w14:textId="77777777" w:rsidTr="00500850">
        <w:trPr>
          <w:trHeight w:val="1348"/>
        </w:trPr>
        <w:tc>
          <w:tcPr>
            <w:tcW w:w="1273" w:type="dxa"/>
            <w:tcBorders>
              <w:top w:val="nil"/>
              <w:left w:val="nil"/>
              <w:bottom w:val="nil"/>
            </w:tcBorders>
            <w:vAlign w:val="center"/>
          </w:tcPr>
          <w:p w14:paraId="55D2F93E" w14:textId="77777777" w:rsidR="003D666E" w:rsidRPr="00F1664D" w:rsidRDefault="003D666E" w:rsidP="00500850">
            <w:pPr>
              <w:rPr>
                <w:rFonts w:cs="Arial"/>
                <w:b/>
              </w:rPr>
            </w:pPr>
            <w:r>
              <w:rPr>
                <w:b/>
              </w:rPr>
              <w:t>Date:</w:t>
            </w:r>
          </w:p>
        </w:tc>
        <w:tc>
          <w:tcPr>
            <w:tcW w:w="2030" w:type="dxa"/>
            <w:vAlign w:val="center"/>
          </w:tcPr>
          <w:p w14:paraId="19B0B311" w14:textId="7172EA6E" w:rsidR="003D666E" w:rsidRPr="00F1664D" w:rsidRDefault="00E3175C" w:rsidP="00500850">
            <w:pPr>
              <w:rPr>
                <w:rFonts w:cs="Arial"/>
              </w:rPr>
            </w:pPr>
            <w:r w:rsidRPr="00F1664D">
              <w:rPr>
                <w:rFonts w:cs="Arial"/>
              </w:rPr>
              <w:fldChar w:fldCharType="begin">
                <w:ffData>
                  <w:name w:val="Text19"/>
                  <w:enabled/>
                  <w:calcOnExit w:val="0"/>
                  <w:textInput>
                    <w:type w:val="date"/>
                    <w:format w:val="dd.MM.yyyy"/>
                  </w:textInput>
                </w:ffData>
              </w:fldChar>
            </w:r>
            <w:bookmarkStart w:id="9"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9"/>
          </w:p>
        </w:tc>
        <w:tc>
          <w:tcPr>
            <w:tcW w:w="448" w:type="dxa"/>
            <w:tcBorders>
              <w:top w:val="nil"/>
              <w:bottom w:val="nil"/>
            </w:tcBorders>
          </w:tcPr>
          <w:p w14:paraId="2AD24A1A" w14:textId="77777777" w:rsidR="003D666E" w:rsidRPr="00F1664D" w:rsidRDefault="003D666E" w:rsidP="00500850">
            <w:pPr>
              <w:jc w:val="right"/>
              <w:rPr>
                <w:rFonts w:cs="Arial"/>
                <w:b/>
              </w:rPr>
            </w:pPr>
          </w:p>
        </w:tc>
        <w:tc>
          <w:tcPr>
            <w:tcW w:w="5580" w:type="dxa"/>
            <w:vMerge/>
            <w:tcBorders>
              <w:bottom w:val="single" w:sz="4" w:space="0" w:color="auto"/>
              <w:right w:val="single" w:sz="4" w:space="0" w:color="auto"/>
            </w:tcBorders>
            <w:vAlign w:val="center"/>
          </w:tcPr>
          <w:p w14:paraId="60718064" w14:textId="77777777" w:rsidR="003D666E" w:rsidRPr="00F1664D" w:rsidRDefault="003D666E" w:rsidP="00500850">
            <w:pPr>
              <w:jc w:val="right"/>
              <w:rPr>
                <w:rFonts w:cs="Arial"/>
                <w:b/>
              </w:rPr>
            </w:pPr>
          </w:p>
        </w:tc>
      </w:tr>
    </w:tbl>
    <w:p w14:paraId="1AD67E31" w14:textId="77777777" w:rsidR="001D4353" w:rsidRDefault="003D666E" w:rsidP="005D42C2">
      <w:pPr>
        <w:jc w:val="right"/>
      </w:pPr>
      <w:r>
        <w:rPr>
          <w:b/>
        </w:rPr>
        <w:t>Legally binding signature / company stamp</w:t>
      </w:r>
    </w:p>
    <w:sectPr w:rsidR="001D4353" w:rsidSect="00581C26">
      <w:headerReference w:type="even" r:id="rId8"/>
      <w:headerReference w:type="default" r:id="rId9"/>
      <w:footerReference w:type="even" r:id="rId10"/>
      <w:footerReference w:type="default" r:id="rId11"/>
      <w:headerReference w:type="first" r:id="rId12"/>
      <w:footerReference w:type="first" r:id="rId13"/>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5B488" w14:textId="77777777" w:rsidR="005477F5" w:rsidRDefault="005477F5" w:rsidP="003D666E">
      <w:r>
        <w:separator/>
      </w:r>
    </w:p>
  </w:endnote>
  <w:endnote w:type="continuationSeparator" w:id="0">
    <w:p w14:paraId="01D7C657" w14:textId="77777777" w:rsidR="005477F5" w:rsidRDefault="005477F5" w:rsidP="003D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9C46C" w14:textId="77777777" w:rsidR="008660AB" w:rsidRDefault="008660A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060E4" w14:textId="7B9DA63C" w:rsidR="003D666E" w:rsidRPr="00B010C2" w:rsidRDefault="008660AB" w:rsidP="00581C26">
    <w:pPr>
      <w:pStyle w:val="Fuzeile"/>
      <w:tabs>
        <w:tab w:val="clear" w:pos="9072"/>
        <w:tab w:val="right" w:pos="9540"/>
      </w:tabs>
      <w:rPr>
        <w:rFonts w:cs="Arial"/>
      </w:rPr>
    </w:pPr>
    <w:r>
      <w:t>03.06.</w:t>
    </w:r>
    <w:r w:rsidR="005C2227">
      <w:t>2022 Annex 1</w:t>
    </w:r>
    <w:r w:rsidR="005C2227">
      <w:tab/>
    </w:r>
    <w:r w:rsidR="005C2227">
      <w:rPr>
        <w:rStyle w:val="Seitenzahl"/>
      </w:rPr>
      <w:t>4/4</w:t>
    </w:r>
    <w:r w:rsidR="005C2227">
      <w:rPr>
        <w:rStyle w:val="Seitenzahl"/>
      </w:rPr>
      <w:tab/>
      <w:t xml:space="preserve">     DE-UZ 5 Edition 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84BB2" w14:textId="77777777" w:rsidR="003D666E" w:rsidRPr="00731E02" w:rsidRDefault="003D666E"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Pr>
        <w:rStyle w:val="Seitenzahl"/>
        <w:rFonts w:ascii="Arial" w:hAnsi="Arial"/>
        <w:sz w:val="22"/>
      </w:rPr>
      <w:t>1/5</w:t>
    </w:r>
    <w:r>
      <w:rPr>
        <w:rStyle w:val="Seitenzahl"/>
        <w:rFonts w:ascii="Arial" w:hAnsi="Arial"/>
        <w:sz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F70BB" w14:textId="77777777" w:rsidR="005477F5" w:rsidRDefault="005477F5" w:rsidP="003D666E">
      <w:r>
        <w:separator/>
      </w:r>
    </w:p>
  </w:footnote>
  <w:footnote w:type="continuationSeparator" w:id="0">
    <w:p w14:paraId="076BF43A" w14:textId="77777777" w:rsidR="005477F5" w:rsidRDefault="005477F5" w:rsidP="003D666E">
      <w:r>
        <w:continuationSeparator/>
      </w:r>
    </w:p>
  </w:footnote>
  <w:footnote w:id="1">
    <w:p w14:paraId="0DC69FD3" w14:textId="77777777" w:rsidR="00530DBA" w:rsidRDefault="00530DBA" w:rsidP="00530DBA">
      <w:pPr>
        <w:pStyle w:val="Funotentext"/>
      </w:pPr>
      <w:r>
        <w:rPr>
          <w:rStyle w:val="Funotenzeichen"/>
        </w:rPr>
        <w:footnoteRef/>
      </w:r>
      <w:r>
        <w:t xml:space="preserve"> </w:t>
      </w:r>
      <w:r>
        <w:rPr>
          <w:rStyle w:val="Hyperlink"/>
        </w:rPr>
        <w:t>https://echa.europa.eu/web/guest/candidate-list-table</w:t>
      </w:r>
    </w:p>
  </w:footnote>
  <w:footnote w:id="2">
    <w:p w14:paraId="17EE0D90" w14:textId="77777777" w:rsidR="00530DBA" w:rsidRDefault="00530DBA" w:rsidP="00530DBA">
      <w:pPr>
        <w:pStyle w:val="Funotentext"/>
      </w:pPr>
      <w:r>
        <w:rPr>
          <w:rStyle w:val="Funotenzeichen"/>
        </w:rPr>
        <w:footnoteRef/>
      </w:r>
      <w:r>
        <w:t xml:space="preserve"> </w:t>
      </w:r>
      <w:r>
        <w:rPr>
          <w:rStyle w:val="Hyperlink"/>
        </w:rPr>
        <w:t>www.reach-compliance.ch/ghsclp/</w:t>
      </w:r>
    </w:p>
  </w:footnote>
  <w:footnote w:id="3">
    <w:p w14:paraId="228B11B9" w14:textId="77777777" w:rsidR="00530DBA" w:rsidRPr="00295EAA" w:rsidRDefault="00530DBA" w:rsidP="00530DBA">
      <w:pPr>
        <w:pStyle w:val="Funotentext"/>
      </w:pPr>
      <w:r>
        <w:rPr>
          <w:rStyle w:val="Funotenzeichen"/>
        </w:rPr>
        <w:footnoteRef/>
      </w:r>
      <w:r>
        <w:t xml:space="preserve"> </w:t>
      </w:r>
      <w:r>
        <w:rPr>
          <w:rStyle w:val="Hyperlink"/>
        </w:rPr>
        <w:t>www.baua.de/DE/Angebote/Rechtstexte-und-Technische-Regeln/Regelwerk/TRGS/TRGS-905.html</w:t>
      </w:r>
    </w:p>
  </w:footnote>
  <w:footnote w:id="4">
    <w:p w14:paraId="4C33B9D4" w14:textId="77777777" w:rsidR="00530DBA" w:rsidRDefault="00530DBA" w:rsidP="00530DBA">
      <w:pPr>
        <w:pStyle w:val="Funotentext"/>
      </w:pPr>
      <w:r>
        <w:rPr>
          <w:rStyle w:val="Funotenzeichen"/>
        </w:rPr>
        <w:footnoteRef/>
      </w:r>
      <w:r>
        <w:t xml:space="preserve"> An exception is made for titanium dioxide because its classification is only based on the respirable dust.</w:t>
      </w:r>
    </w:p>
  </w:footnote>
  <w:footnote w:id="5">
    <w:p w14:paraId="776CC8C3" w14:textId="77777777" w:rsidR="00530DBA" w:rsidRDefault="00530DBA" w:rsidP="00530DBA">
      <w:pPr>
        <w:pStyle w:val="Funotentext"/>
      </w:pPr>
      <w:r>
        <w:rPr>
          <w:rStyle w:val="Funotenzeichen"/>
        </w:rPr>
        <w:footnoteRef/>
      </w:r>
      <w:r>
        <w:t xml:space="preserve"> An exception is made for anti-slime agents and preservatives, see Paragraph 3.5</w:t>
      </w:r>
    </w:p>
  </w:footnote>
  <w:footnote w:id="6">
    <w:p w14:paraId="235EDD5F" w14:textId="77777777" w:rsidR="001D1040" w:rsidRDefault="001D1040" w:rsidP="001D1040">
      <w:pPr>
        <w:pStyle w:val="Funotentext"/>
      </w:pPr>
      <w:r>
        <w:rPr>
          <w:rStyle w:val="Funotenzeichen"/>
        </w:rPr>
        <w:footnoteRef/>
      </w:r>
      <w:r>
        <w:t xml:space="preserve"> </w:t>
      </w:r>
      <w:r>
        <w:rPr>
          <w:rStyle w:val="Hyperlink"/>
        </w:rPr>
        <w:t>http://bfr.ble.de/kse/faces/DBEmpfehlung.jsp</w:t>
      </w:r>
    </w:p>
  </w:footnote>
  <w:footnote w:id="7">
    <w:p w14:paraId="095F5B29" w14:textId="77777777" w:rsidR="00E815E5" w:rsidRPr="00847499" w:rsidRDefault="00E815E5" w:rsidP="00E815E5">
      <w:pPr>
        <w:pStyle w:val="Funotentext"/>
        <w:rPr>
          <w:rStyle w:val="StandardnurWort"/>
        </w:rPr>
      </w:pPr>
      <w:r>
        <w:rPr>
          <w:rStyle w:val="Funotenzeichen"/>
        </w:rPr>
        <w:footnoteRef/>
      </w:r>
      <w:r>
        <w:t xml:space="preserve"> </w:t>
      </w:r>
      <w:hyperlink r:id="rId1" w:history="1">
        <w:r>
          <w:rPr>
            <w:rStyle w:val="Hyperlink"/>
          </w:rPr>
          <w:t>http://www.baua.de/nn_16790/de/Themen-von-A-Z/Gefahrstoffe/TRGS/pdf/TRGS-614.pdf</w:t>
        </w:r>
      </w:hyperlink>
      <w:r>
        <w:rPr>
          <w:rStyle w:val="StandardnurWort"/>
        </w:rPr>
        <w:t xml:space="preserve"> </w:t>
      </w:r>
    </w:p>
  </w:footnote>
  <w:footnote w:id="8">
    <w:p w14:paraId="2A38D89C" w14:textId="77777777" w:rsidR="005568DF" w:rsidRPr="000A184A" w:rsidRDefault="005568DF" w:rsidP="005568DF">
      <w:pPr>
        <w:pStyle w:val="Funotentext"/>
      </w:pPr>
      <w:r>
        <w:rPr>
          <w:rStyle w:val="Funotenzeichen"/>
        </w:rPr>
        <w:footnoteRef/>
      </w:r>
      <w:r>
        <w:t xml:space="preserve"> Available at: </w:t>
      </w:r>
      <w:r>
        <w:rPr>
          <w:rStyle w:val="Hyperlink"/>
        </w:rPr>
        <w:t>https://www.verpackungsregister.org/stiftung-behoerde/mindeststandard-21-verpackg</w:t>
      </w:r>
    </w:p>
  </w:footnote>
  <w:footnote w:id="9">
    <w:p w14:paraId="61DAB2A9" w14:textId="77777777" w:rsidR="00420B56" w:rsidRDefault="00420B56" w:rsidP="00420B56">
      <w:pPr>
        <w:pStyle w:val="Funotentext"/>
      </w:pPr>
      <w:r>
        <w:rPr>
          <w:rStyle w:val="Funotenzeichen"/>
        </w:rPr>
        <w:footnoteRef/>
      </w:r>
      <w:r>
        <w:t xml:space="preserve"> TNb defines the total pollution of water by nitrogen compounds, which can appear in the form of e.g. ammonia, nitrites, nitrates or organic nitrogen compounds. A suitable method for determining this parameter is described in DIN EN 12260.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77ED4" w14:textId="77777777" w:rsidR="008660AB" w:rsidRDefault="008660A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9E9FF" w14:textId="77777777" w:rsidR="003D666E" w:rsidRDefault="003D666E">
    <w:pPr>
      <w:pStyle w:val="Kopfzeile"/>
    </w:pPr>
    <w:r>
      <w:rPr>
        <w:noProof/>
      </w:rPr>
      <w:drawing>
        <wp:anchor distT="0" distB="0" distL="114300" distR="114300" simplePos="0" relativeHeight="251660288" behindDoc="0" locked="0" layoutInCell="1" allowOverlap="1" wp14:anchorId="4B13E141" wp14:editId="54B54DC8">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083EE" w14:textId="77777777" w:rsidR="003D666E" w:rsidRDefault="003D666E">
    <w:pPr>
      <w:pStyle w:val="Kopfzeile"/>
    </w:pPr>
    <w:r>
      <w:rPr>
        <w:noProof/>
      </w:rPr>
      <w:drawing>
        <wp:anchor distT="0" distB="0" distL="114300" distR="114300" simplePos="0" relativeHeight="251659264" behindDoc="1" locked="0" layoutInCell="1" allowOverlap="0" wp14:anchorId="4A75E352" wp14:editId="279EAFAF">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15:restartNumberingAfterBreak="0">
    <w:nsid w:val="50EC3662"/>
    <w:multiLevelType w:val="hybridMultilevel"/>
    <w:tmpl w:val="71C4F8AA"/>
    <w:lvl w:ilvl="0" w:tplc="34FABFF4">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3"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9Cm2Xjcp9pyZjOd9gpinYZkpi02RyLabN7Ziwp+1gx5ngmmsZvmclYR1fzqIxYgZh8ks8H3Z9WfLB4eVQtKRPQ==" w:salt="7iBQgKf2W/AJeOQtNMZcr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66E"/>
    <w:rsid w:val="000112AE"/>
    <w:rsid w:val="00011D99"/>
    <w:rsid w:val="000515FA"/>
    <w:rsid w:val="000624E3"/>
    <w:rsid w:val="00066C1C"/>
    <w:rsid w:val="00072572"/>
    <w:rsid w:val="000938FF"/>
    <w:rsid w:val="000B6B8F"/>
    <w:rsid w:val="000F3F7C"/>
    <w:rsid w:val="0010412B"/>
    <w:rsid w:val="00131EC2"/>
    <w:rsid w:val="001424B3"/>
    <w:rsid w:val="00192EC8"/>
    <w:rsid w:val="001C1B64"/>
    <w:rsid w:val="001D1040"/>
    <w:rsid w:val="001D4353"/>
    <w:rsid w:val="001F114D"/>
    <w:rsid w:val="00215893"/>
    <w:rsid w:val="00221E18"/>
    <w:rsid w:val="002326F2"/>
    <w:rsid w:val="0023514A"/>
    <w:rsid w:val="002676C5"/>
    <w:rsid w:val="002A65A7"/>
    <w:rsid w:val="002E45B4"/>
    <w:rsid w:val="00351B98"/>
    <w:rsid w:val="00351DF0"/>
    <w:rsid w:val="003558EC"/>
    <w:rsid w:val="003D666E"/>
    <w:rsid w:val="00420B56"/>
    <w:rsid w:val="00434333"/>
    <w:rsid w:val="004B003A"/>
    <w:rsid w:val="004E19B6"/>
    <w:rsid w:val="00530DBA"/>
    <w:rsid w:val="005477F5"/>
    <w:rsid w:val="005568DF"/>
    <w:rsid w:val="00565983"/>
    <w:rsid w:val="00583B0F"/>
    <w:rsid w:val="005C2227"/>
    <w:rsid w:val="005C4958"/>
    <w:rsid w:val="005D42C2"/>
    <w:rsid w:val="005F702C"/>
    <w:rsid w:val="00633F0F"/>
    <w:rsid w:val="006F203D"/>
    <w:rsid w:val="00712818"/>
    <w:rsid w:val="00770F23"/>
    <w:rsid w:val="00771915"/>
    <w:rsid w:val="007A14B0"/>
    <w:rsid w:val="00855864"/>
    <w:rsid w:val="008660AB"/>
    <w:rsid w:val="00871B41"/>
    <w:rsid w:val="00894B3F"/>
    <w:rsid w:val="00926C8C"/>
    <w:rsid w:val="00955804"/>
    <w:rsid w:val="00985A88"/>
    <w:rsid w:val="009D1887"/>
    <w:rsid w:val="009D1F87"/>
    <w:rsid w:val="00A011E9"/>
    <w:rsid w:val="00A16B4B"/>
    <w:rsid w:val="00A50563"/>
    <w:rsid w:val="00A646A5"/>
    <w:rsid w:val="00AE373B"/>
    <w:rsid w:val="00B366E9"/>
    <w:rsid w:val="00B760ED"/>
    <w:rsid w:val="00C148F0"/>
    <w:rsid w:val="00C32BC9"/>
    <w:rsid w:val="00C654CE"/>
    <w:rsid w:val="00CA6595"/>
    <w:rsid w:val="00CB3026"/>
    <w:rsid w:val="00CD03BA"/>
    <w:rsid w:val="00D167EB"/>
    <w:rsid w:val="00D63DE9"/>
    <w:rsid w:val="00DD0312"/>
    <w:rsid w:val="00E13250"/>
    <w:rsid w:val="00E3044C"/>
    <w:rsid w:val="00E3175C"/>
    <w:rsid w:val="00E347D4"/>
    <w:rsid w:val="00E51063"/>
    <w:rsid w:val="00E6676D"/>
    <w:rsid w:val="00E815E5"/>
    <w:rsid w:val="00EA45F3"/>
    <w:rsid w:val="00EE3B92"/>
    <w:rsid w:val="00EF7D40"/>
    <w:rsid w:val="00F42E1C"/>
    <w:rsid w:val="00F542A0"/>
    <w:rsid w:val="00FD0821"/>
    <w:rsid w:val="00FF5F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AB090"/>
  <w15:chartTrackingRefBased/>
  <w15:docId w15:val="{03C9699D-E7AE-4EE1-8D18-4391EE2B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666E"/>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D666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D666E"/>
    <w:pPr>
      <w:tabs>
        <w:tab w:val="center" w:pos="4536"/>
        <w:tab w:val="right" w:pos="9072"/>
      </w:tabs>
    </w:pPr>
  </w:style>
  <w:style w:type="character" w:customStyle="1" w:styleId="KopfzeileZchn">
    <w:name w:val="Kopfzeile Zchn"/>
    <w:basedOn w:val="Absatz-Standardschriftart"/>
    <w:link w:val="Kopfzeile"/>
    <w:rsid w:val="003D666E"/>
    <w:rPr>
      <w:rFonts w:ascii="Verdana" w:eastAsia="Times New Roman" w:hAnsi="Verdana" w:cs="Times New Roman"/>
      <w:color w:val="000000"/>
      <w:sz w:val="20"/>
      <w:szCs w:val="20"/>
      <w:lang w:eastAsia="de-DE"/>
    </w:rPr>
  </w:style>
  <w:style w:type="paragraph" w:styleId="Fuzeile">
    <w:name w:val="footer"/>
    <w:basedOn w:val="Standard"/>
    <w:link w:val="FuzeileZchn"/>
    <w:rsid w:val="003D666E"/>
    <w:pPr>
      <w:tabs>
        <w:tab w:val="center" w:pos="4536"/>
        <w:tab w:val="right" w:pos="9072"/>
      </w:tabs>
    </w:pPr>
  </w:style>
  <w:style w:type="character" w:customStyle="1" w:styleId="FuzeileZchn">
    <w:name w:val="Fußzeile Zchn"/>
    <w:basedOn w:val="Absatz-Standardschriftart"/>
    <w:link w:val="Fuzeile"/>
    <w:rsid w:val="003D666E"/>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3D666E"/>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3D666E"/>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3D666E"/>
    <w:rPr>
      <w:vertAlign w:val="superscript"/>
    </w:rPr>
  </w:style>
  <w:style w:type="character" w:styleId="Seitenzahl">
    <w:name w:val="page number"/>
    <w:basedOn w:val="Absatz-Standardschriftart"/>
    <w:rsid w:val="003D666E"/>
  </w:style>
  <w:style w:type="character" w:styleId="Hyperlink">
    <w:name w:val="Hyperlink"/>
    <w:basedOn w:val="Absatz-Standardschriftart"/>
    <w:uiPriority w:val="99"/>
    <w:unhideWhenUsed/>
    <w:qFormat/>
    <w:rsid w:val="003D666E"/>
    <w:rPr>
      <w:color w:val="0563C1" w:themeColor="hyperlink"/>
      <w:u w:val="single"/>
    </w:rPr>
  </w:style>
  <w:style w:type="paragraph" w:styleId="Textkrper">
    <w:name w:val="Body Text"/>
    <w:basedOn w:val="Standard"/>
    <w:link w:val="TextkrperZchn"/>
    <w:rsid w:val="003D666E"/>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3D666E"/>
    <w:rPr>
      <w:rFonts w:ascii="Arial" w:eastAsia="Times New Roman" w:hAnsi="Arial" w:cs="Arial"/>
      <w:sz w:val="28"/>
      <w:lang w:eastAsia="de-DE"/>
    </w:rPr>
  </w:style>
  <w:style w:type="paragraph" w:customStyle="1" w:styleId="Anhangberschrift1">
    <w:name w:val="Anhang Überschrift 1"/>
    <w:basedOn w:val="Standard"/>
    <w:next w:val="Standard"/>
    <w:qFormat/>
    <w:rsid w:val="003D666E"/>
    <w:pPr>
      <w:keepNext/>
      <w:numPr>
        <w:ilvl w:val="1"/>
        <w:numId w:val="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3D666E"/>
    <w:pPr>
      <w:keepNext/>
      <w:numPr>
        <w:ilvl w:val="2"/>
        <w:numId w:val="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3D666E"/>
    <w:pPr>
      <w:numPr>
        <w:numId w:val="1"/>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3D666E"/>
    <w:rPr>
      <w:rFonts w:ascii="Verdana" w:eastAsiaTheme="minorEastAsia" w:hAnsi="Verdana"/>
      <w:sz w:val="20"/>
      <w:szCs w:val="20"/>
      <w:lang w:eastAsia="ja-JP"/>
    </w:rPr>
  </w:style>
  <w:style w:type="paragraph" w:customStyle="1" w:styleId="Anhangberschrift">
    <w:name w:val="Anhang Überschrift"/>
    <w:basedOn w:val="Listenabsatz"/>
    <w:next w:val="Standard"/>
    <w:qFormat/>
    <w:rsid w:val="003D666E"/>
    <w:pPr>
      <w:keepNext/>
      <w:numPr>
        <w:numId w:val="2"/>
      </w:numPr>
      <w:tabs>
        <w:tab w:val="num" w:pos="360"/>
        <w:tab w:val="left" w:pos="1418"/>
      </w:tabs>
      <w:spacing w:before="120" w:after="120" w:line="288" w:lineRule="auto"/>
      <w:ind w:left="720" w:firstLine="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3D666E"/>
    <w:pPr>
      <w:numPr>
        <w:ilvl w:val="4"/>
        <w:numId w:val="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3D666E"/>
    <w:rPr>
      <w:rFonts w:ascii="Verdana" w:eastAsiaTheme="minorEastAsia" w:hAnsi="Verdana"/>
      <w:sz w:val="20"/>
      <w:lang w:eastAsia="ja-JP"/>
    </w:rPr>
  </w:style>
  <w:style w:type="paragraph" w:customStyle="1" w:styleId="Anhangberschrift3">
    <w:name w:val="Anhang Überschrift 3"/>
    <w:basedOn w:val="Anhangberschrift2"/>
    <w:next w:val="Standard"/>
    <w:rsid w:val="003D666E"/>
    <w:pPr>
      <w:numPr>
        <w:ilvl w:val="3"/>
      </w:numPr>
    </w:pPr>
    <w:rPr>
      <w:rFonts w:eastAsia="Times New Roman" w:cs="Times New Roman"/>
      <w:bCs/>
    </w:rPr>
  </w:style>
  <w:style w:type="paragraph" w:styleId="Listenabsatz">
    <w:name w:val="List Paragraph"/>
    <w:basedOn w:val="Standard"/>
    <w:uiPriority w:val="34"/>
    <w:qFormat/>
    <w:rsid w:val="003D666E"/>
    <w:pPr>
      <w:ind w:left="720"/>
      <w:contextualSpacing/>
    </w:pPr>
  </w:style>
  <w:style w:type="paragraph" w:customStyle="1" w:styleId="b1">
    <w:name w:val="Üb 1"/>
    <w:basedOn w:val="Listenabsatz"/>
    <w:next w:val="Standard"/>
    <w:qFormat/>
    <w:rsid w:val="00530DBA"/>
    <w:pPr>
      <w:keepNext/>
      <w:numPr>
        <w:numId w:val="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530DBA"/>
    <w:pPr>
      <w:numPr>
        <w:ilvl w:val="1"/>
      </w:numPr>
      <w:spacing w:before="240"/>
      <w:ind w:left="709" w:hanging="709"/>
      <w:outlineLvl w:val="1"/>
    </w:pPr>
    <w:rPr>
      <w:sz w:val="20"/>
    </w:rPr>
  </w:style>
  <w:style w:type="paragraph" w:customStyle="1" w:styleId="b3">
    <w:name w:val="Üb 3"/>
    <w:basedOn w:val="Listenabsatz"/>
    <w:next w:val="Standard"/>
    <w:qFormat/>
    <w:rsid w:val="00530DBA"/>
    <w:pPr>
      <w:keepNext/>
      <w:numPr>
        <w:ilvl w:val="2"/>
        <w:numId w:val="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530DBA"/>
    <w:pPr>
      <w:numPr>
        <w:ilvl w:val="3"/>
      </w:numPr>
      <w:ind w:left="1077" w:hanging="1077"/>
      <w:outlineLvl w:val="3"/>
    </w:pPr>
  </w:style>
  <w:style w:type="paragraph" w:customStyle="1" w:styleId="b5">
    <w:name w:val="Üb 5"/>
    <w:basedOn w:val="b4"/>
    <w:next w:val="Standard"/>
    <w:qFormat/>
    <w:rsid w:val="00530DBA"/>
    <w:pPr>
      <w:numPr>
        <w:ilvl w:val="4"/>
      </w:numPr>
      <w:ind w:left="1304" w:hanging="1304"/>
      <w:outlineLvl w:val="4"/>
    </w:pPr>
  </w:style>
  <w:style w:type="paragraph" w:customStyle="1" w:styleId="b6">
    <w:name w:val="Üb 6"/>
    <w:basedOn w:val="b5"/>
    <w:next w:val="Standard"/>
    <w:qFormat/>
    <w:rsid w:val="00530DBA"/>
    <w:pPr>
      <w:numPr>
        <w:ilvl w:val="5"/>
      </w:numPr>
      <w:ind w:left="1559" w:hanging="1559"/>
      <w:outlineLvl w:val="5"/>
    </w:pPr>
  </w:style>
  <w:style w:type="paragraph" w:customStyle="1" w:styleId="AufzhlungBuchstabe">
    <w:name w:val="Aufzählung Buchstabe"/>
    <w:basedOn w:val="b2"/>
    <w:link w:val="AufzhlungBuchstabeZchn"/>
    <w:qFormat/>
    <w:rsid w:val="00530DB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530DBA"/>
    <w:rPr>
      <w:rFonts w:ascii="Verdana" w:eastAsiaTheme="minorEastAsia" w:hAnsi="Verdana"/>
      <w:sz w:val="20"/>
      <w:lang w:eastAsia="ja-JP"/>
    </w:rPr>
  </w:style>
  <w:style w:type="paragraph" w:customStyle="1" w:styleId="AufzhlungBuchstabeFett">
    <w:name w:val="Aufzählung Buchstabe Fett"/>
    <w:basedOn w:val="AufzhlungBuchstabe"/>
    <w:rsid w:val="00530DBA"/>
    <w:pPr>
      <w:numPr>
        <w:ilvl w:val="8"/>
      </w:numPr>
      <w:tabs>
        <w:tab w:val="num" w:pos="360"/>
      </w:tabs>
    </w:pPr>
    <w:rPr>
      <w:b/>
      <w:bCs/>
    </w:rPr>
  </w:style>
  <w:style w:type="paragraph" w:customStyle="1" w:styleId="AufzhlungBuchstabeKursiv">
    <w:name w:val="Aufzählung Buchstabe Kursiv"/>
    <w:basedOn w:val="AufzhlungBuchstabe"/>
    <w:rsid w:val="00530DBA"/>
    <w:pPr>
      <w:numPr>
        <w:ilvl w:val="7"/>
      </w:numPr>
      <w:tabs>
        <w:tab w:val="num" w:pos="360"/>
      </w:tabs>
    </w:pPr>
    <w:rPr>
      <w:i/>
      <w:iCs/>
    </w:rPr>
  </w:style>
  <w:style w:type="paragraph" w:customStyle="1" w:styleId="Standardklein">
    <w:name w:val="Standard klein"/>
    <w:basedOn w:val="Standard"/>
    <w:link w:val="StandardkleinZchn"/>
    <w:qFormat/>
    <w:rsid w:val="00530DBA"/>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30DBA"/>
    <w:rPr>
      <w:rFonts w:ascii="Verdana" w:eastAsiaTheme="minorEastAsia" w:hAnsi="Verdana"/>
      <w:sz w:val="16"/>
      <w:szCs w:val="16"/>
      <w:lang w:eastAsia="ja-JP"/>
    </w:rPr>
  </w:style>
  <w:style w:type="character" w:customStyle="1" w:styleId="StandardfettnurWort">
    <w:name w:val="Standard fett nur Wort"/>
    <w:basedOn w:val="Absatz-Standardschriftart"/>
    <w:uiPriority w:val="1"/>
    <w:qFormat/>
    <w:rsid w:val="00530DBA"/>
    <w:rPr>
      <w:rFonts w:ascii="Verdana" w:hAnsi="Verdana"/>
      <w:b/>
      <w:sz w:val="20"/>
    </w:rPr>
  </w:style>
  <w:style w:type="table" w:customStyle="1" w:styleId="TabellefrVergabegrundlageKopfzeilegrau">
    <w:name w:val="Tabelle für Vergabegrundlage Kopfzeile grau"/>
    <w:basedOn w:val="NormaleTabelle"/>
    <w:uiPriority w:val="99"/>
    <w:rsid w:val="00530DBA"/>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30DBA"/>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30DBA"/>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30DBA"/>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30DBA"/>
    <w:rPr>
      <w:rFonts w:ascii="Verdana" w:eastAsiaTheme="minorEastAsia" w:hAnsi="Verdana"/>
      <w:sz w:val="18"/>
      <w:szCs w:val="18"/>
      <w:lang w:eastAsia="ja-JP"/>
    </w:rPr>
  </w:style>
  <w:style w:type="character" w:customStyle="1" w:styleId="StandardnurWort">
    <w:name w:val="Standard nur Wort"/>
    <w:basedOn w:val="Absatz-Standardschriftart"/>
    <w:uiPriority w:val="1"/>
    <w:qFormat/>
    <w:rsid w:val="00E815E5"/>
  </w:style>
  <w:style w:type="paragraph" w:customStyle="1" w:styleId="AufzhlungPunkt1">
    <w:name w:val="Aufzählung Punkt 1"/>
    <w:basedOn w:val="Standard"/>
    <w:link w:val="AufzhlungPunkt1Zchn"/>
    <w:qFormat/>
    <w:rsid w:val="00926C8C"/>
    <w:pPr>
      <w:numPr>
        <w:numId w:val="6"/>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926C8C"/>
    <w:rPr>
      <w:rFonts w:ascii="Verdana" w:eastAsiaTheme="minorEastAsia" w:hAnsi="Verdana"/>
      <w:sz w:val="20"/>
      <w:szCs w:val="20"/>
      <w:lang w:eastAsia="ja-JP"/>
    </w:rPr>
  </w:style>
  <w:style w:type="table" w:customStyle="1" w:styleId="Tabellenraster1">
    <w:name w:val="Tabellenraster1"/>
    <w:basedOn w:val="NormaleTabelle"/>
    <w:next w:val="Tabellenraster"/>
    <w:uiPriority w:val="59"/>
    <w:rsid w:val="00066C1C"/>
    <w:pPr>
      <w:spacing w:after="0" w:line="240" w:lineRule="auto"/>
    </w:pPr>
    <w:rPr>
      <w:rFonts w:ascii="DINPro" w:hAnsi="DIN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frVergabegrundlageKopfzeileundersteSpaltegrau">
    <w:name w:val="Tabelle für Vergabegrundlage Kopfzeile und erste Spalte grau"/>
    <w:basedOn w:val="NormaleTabelle"/>
    <w:uiPriority w:val="99"/>
    <w:rsid w:val="009D1F87"/>
    <w:pPr>
      <w:spacing w:after="0" w:line="240" w:lineRule="auto"/>
    </w:pPr>
    <w:rPr>
      <w:rFonts w:ascii="Verdana" w:eastAsiaTheme="minorEastAsi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paragraph" w:styleId="Sprechblasentext">
    <w:name w:val="Balloon Text"/>
    <w:basedOn w:val="Standard"/>
    <w:link w:val="SprechblasentextZchn"/>
    <w:uiPriority w:val="99"/>
    <w:semiHidden/>
    <w:unhideWhenUsed/>
    <w:rsid w:val="001C1B6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1B64"/>
    <w:rPr>
      <w:rFonts w:ascii="Segoe UI" w:eastAsia="Times New Roman" w:hAnsi="Segoe UI" w:cs="Segoe UI"/>
      <w:color w:val="000000"/>
      <w:sz w:val="18"/>
      <w:szCs w:val="18"/>
      <w:lang w:eastAsia="de-DE"/>
    </w:rPr>
  </w:style>
  <w:style w:type="character" w:styleId="NichtaufgelsteErwhnung">
    <w:name w:val="Unresolved Mention"/>
    <w:basedOn w:val="Absatz-Standardschriftart"/>
    <w:uiPriority w:val="99"/>
    <w:semiHidden/>
    <w:unhideWhenUsed/>
    <w:rsid w:val="002676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36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about:blan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2234</Words>
  <Characters>14081</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Bartoszewicz, Maik</cp:lastModifiedBy>
  <cp:revision>4</cp:revision>
  <cp:lastPrinted>2022-03-08T11:06:00Z</cp:lastPrinted>
  <dcterms:created xsi:type="dcterms:W3CDTF">2022-06-03T09:28:00Z</dcterms:created>
  <dcterms:modified xsi:type="dcterms:W3CDTF">2022-06-03T09:40:00Z</dcterms:modified>
</cp:coreProperties>
</file>